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62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附件1：</w:t>
      </w:r>
    </w:p>
    <w:p w14:paraId="6262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highlight w:val="none"/>
          <w:lang w:val="en-US" w:eastAsia="zh-CN" w:bidi="ar"/>
        </w:rPr>
        <w:t>各岗位服务内容及人员要求</w:t>
      </w:r>
    </w:p>
    <w:tbl>
      <w:tblPr>
        <w:tblStyle w:val="9"/>
        <w:tblW w:w="14662" w:type="dxa"/>
        <w:tblInd w:w="-11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373"/>
        <w:gridCol w:w="1197"/>
        <w:gridCol w:w="6541"/>
        <w:gridCol w:w="5029"/>
      </w:tblGrid>
      <w:tr w14:paraId="4CDAA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5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需求科室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6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65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D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6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人员要求</w:t>
            </w:r>
          </w:p>
        </w:tc>
      </w:tr>
      <w:tr w14:paraId="108BF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E0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7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护理部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6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门诊导医服务</w:t>
            </w:r>
          </w:p>
        </w:tc>
        <w:tc>
          <w:tcPr>
            <w:tcW w:w="65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2D7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主动迎候患者，规范文明用语，有问必答；解答科室分布、专家出诊、挂号缴费、检查检验流程、医保政策、自助设备、便民服务等咨询，疑难问题按流程转接并跟踪反馈。</w:t>
            </w:r>
          </w:p>
          <w:p w14:paraId="4A906C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就诊引导、分诊协助、路径指引，协助老弱病残孕等特殊患者优先就医。</w:t>
            </w:r>
          </w:p>
          <w:p w14:paraId="160E7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协助办理电子健康卡，指导老年患者手机操作及医院服务号挂号、预约复诊。</w:t>
            </w:r>
          </w:p>
          <w:p w14:paraId="392928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打印历史门诊病历，审核本院检查检验报告、当日门诊病历及病情诊断证明，按流程盖章登记。</w:t>
            </w:r>
          </w:p>
          <w:p w14:paraId="1195BD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接听咨询电话，解答挂号、复查、取报告、证明办理问题，复杂诉求记录并报告护士长。</w:t>
            </w:r>
          </w:p>
          <w:p w14:paraId="102464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门诊随访、复查提醒、康复跟踪等满意度回访，如实记录患者反馈。</w:t>
            </w:r>
          </w:p>
          <w:p w14:paraId="4E30F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负责服务区环境卫生，定时消毒台面、电话、打印机等；每班清点、申领、补充办公物资及宣教资料。</w:t>
            </w:r>
          </w:p>
          <w:p w14:paraId="282A5B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保管轮椅、平车、雨伞、急救等导诊物资，做好借用登记、归还整理。</w:t>
            </w:r>
          </w:p>
          <w:p w14:paraId="386266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每日更换各诊室床单元，检查诊室及大厅、走廊设备电源断电。</w:t>
            </w:r>
          </w:p>
          <w:p w14:paraId="751372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诊间转诊工作；收集患者意见建议上报门诊部。</w:t>
            </w:r>
          </w:p>
          <w:p w14:paraId="7EB837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完成门诊部安排的临时性工作，服从岗位调整与监督考核。</w:t>
            </w:r>
          </w:p>
          <w:p w14:paraId="72FDA9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经护理部培训考核合格持证上岗，定期继续教育及岗位再评价，不合格须复训；接受月度考核（仪容礼仪、服务质量、满意度、投诉），考核与绩效挂钩；违规按院规处理，必要时要求更换服务人员。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29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年龄21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noBreakHyphen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35周岁，身体健康，无传染性疾病、精神病史，无不良从业记录。</w:t>
            </w:r>
          </w:p>
          <w:p w14:paraId="0D89E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大专及以上学历，专业不限；礼仪学校、空乘、酒店管理、文秘等相关专业优先。</w:t>
            </w:r>
          </w:p>
          <w:p w14:paraId="79DCCC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具备良好服务意识、责任心、抗压能力与团队协作意识，适应门诊轮班与高峰高强度工作。</w:t>
            </w:r>
          </w:p>
          <w:p w14:paraId="1CF7FD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普通话流利，表达清晰、倾听耐心；具备基础电脑操作能力。</w:t>
            </w:r>
          </w:p>
          <w:p w14:paraId="7F3856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女性身高≥165cm，男性身高≥175cm，身材匀称、形象端庄、气质佳。</w:t>
            </w:r>
          </w:p>
          <w:p w14:paraId="5E9D47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掌握标准商务接待礼仪，沟通交流能力强。</w:t>
            </w:r>
          </w:p>
          <w:p w14:paraId="46CE1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有礼仪学校培训经历、礼仪证书、空乘或酒店从业经历者优先；有医院导诊、客服经验者优先；有多语种能力者优先。</w:t>
            </w:r>
          </w:p>
        </w:tc>
      </w:tr>
      <w:tr w14:paraId="6A792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EA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8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C0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临床科室辅助工人</w:t>
            </w:r>
          </w:p>
        </w:tc>
        <w:tc>
          <w:tcPr>
            <w:tcW w:w="65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B67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负责协助处理病区各类非医疗专业事务，配合开展晨午间护理工作，负责回收陪护床，规范整理患者床单元、桌柜物品，协助患者打水。</w:t>
            </w:r>
          </w:p>
          <w:p w14:paraId="0540A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为新入院患者、手术患者铺床，更换床单元物资，配合完成患者转床相关工作。</w:t>
            </w:r>
          </w:p>
          <w:p w14:paraId="4B3653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协助科室领取各类物料、文书用纸，负责病历及相关资料的递交转运工作。</w:t>
            </w:r>
          </w:p>
          <w:p w14:paraId="11DBCB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协助做好被服间管理，定期清点工作服及被服间各类物资，做好物资规整管理。</w:t>
            </w:r>
          </w:p>
          <w:p w14:paraId="0A1CA1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常态化规范整理值班室、更衣室、库房等工作区域物品，保持区域整洁规范。</w:t>
            </w:r>
          </w:p>
          <w:p w14:paraId="1324A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在医护人员指导下，协助开展各类设备仪器的整理、清洁工作。</w:t>
            </w:r>
          </w:p>
          <w:p w14:paraId="18F41B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协助完成出院病历、外伤病人登记表等资料的交接传递工作。</w:t>
            </w:r>
          </w:p>
          <w:p w14:paraId="33FFA3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协助特殊需求患者完成就诊签到、缴费等手续，全程陪同特殊患者就诊，保障患者就医顺畅。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5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年满18周岁，符合法定用工条件，能够与供应商依法签订用工合同，无不良从业及违法违纪记录。</w:t>
            </w:r>
          </w:p>
          <w:p w14:paraId="49586A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初中以上文化，身体健康、品行端正，可胜任病区后勤辅助工作。</w:t>
            </w:r>
          </w:p>
          <w:p w14:paraId="5C697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人员责任心强、踏实细致、服从管理、吃苦耐劳，适应科室排班，具备基础沟通及动手实操能力，能配合医护人员完成各项病区辅助服务工作。</w:t>
            </w:r>
          </w:p>
        </w:tc>
      </w:tr>
      <w:tr w14:paraId="32858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D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4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药学部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工勤</w:t>
            </w:r>
          </w:p>
        </w:tc>
        <w:tc>
          <w:tcPr>
            <w:tcW w:w="6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1C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库房与养护：①协助开展中药调配与前处理；完成补货上架、饮片养护、库房清理，协助开展验收入库工作。②任务按时完成率≥90%。③严格执行验收、养护、盘点制度，保证记录准确。④库房卫生评分≥80%，消除安全隐患，设备及时归位。⑤具备中药饮片辨识与养护基础常识，无煎药、膏方专项要求。</w:t>
            </w:r>
          </w:p>
          <w:p w14:paraId="1D246F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煎药与膏方：①协助开展中药调配与前处理；开展中药汤剂煎煮，完成膏方原材料准备及制作。②按时交付率≥90%。③严格执行煎药、膏方规程及双人核对，记录完整；④设备每日维护，区域卫生评分≥80%。⑤处方审核准确率≥95%，特殊煎法100%准确；药液量误差≤8%，合格率≥90%，无错发。⑥膏方成品一次合格率≥90%，损耗率≤5%，包装标签零错误。</w:t>
            </w:r>
          </w:p>
          <w:p w14:paraId="28FD83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配送与网络服务：①协助开展中药调配与前处理；负责汤剂配送、膏方登记发放；开展网络药品备货、发放，处理快递相关咨询。②配送及时，任务按时完成率≥90%。③严格执行配送交接、发放、备货制度，记录清晰。④配送工具保持清洁，运输无损坏，责任区卫生合格。⑤能够识别汤剂、膏方包装要求，掌握发放核对要点（姓名、剂数、有效期）。⑥确保处方、煎药标签与患者一致，无错发漏发。⑦熟悉快递包装、温控要求及常见咨询解答。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7B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年满18周岁，符合法定用工条件，能够与供应商依法签订用工合同，无不良从业及违法违纪记录。</w:t>
            </w:r>
          </w:p>
          <w:p w14:paraId="167147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身体健康、品行端正，责任心强，服从管理。</w:t>
            </w:r>
          </w:p>
          <w:p w14:paraId="39B9D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专科及以上学历，医药相关专业优先。</w:t>
            </w:r>
          </w:p>
        </w:tc>
      </w:tr>
      <w:tr w14:paraId="0BF21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E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E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天府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院区重症医学科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2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护工</w:t>
            </w:r>
          </w:p>
        </w:tc>
        <w:tc>
          <w:tcPr>
            <w:tcW w:w="6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2C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按照工作流程完成交接班工作。</w:t>
            </w:r>
          </w:p>
          <w:p w14:paraId="5A386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负责患者喂饭、喂水，按医嘱协助喂药，关注糖尿病患者胰岛素、降糖药服用相关事项。</w:t>
            </w:r>
          </w:p>
          <w:p w14:paraId="078BB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协助护士完成气压治疗、排痰治疗，做好床单元整理，保持床单元整洁、干燥，及时更换湿尿垫、床单、衣裤。</w:t>
            </w:r>
          </w:p>
          <w:p w14:paraId="1F5B71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清点整理患者物品，协助完成转运病人相关工作；定时协助患者翻身拍背；及时更换湿化瓶、鼻氧管。</w:t>
            </w:r>
          </w:p>
          <w:p w14:paraId="1B880D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协助倾倒大小便，做好记录并向护士报告；协助留取大小便标本。</w:t>
            </w:r>
          </w:p>
          <w:p w14:paraId="2373B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协助护士观察患者状态，监管患者液体，及时清除排泄物，记录出入量。</w:t>
            </w:r>
          </w:p>
          <w:p w14:paraId="67660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家属探视期间做好提醒，相关问询及时告知医护人员。</w:t>
            </w:r>
          </w:p>
          <w:p w14:paraId="2CBF0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完成晨间护理，协助患者洗脸、清洁身体；关注排泄物、引流液情况并及时报告护士；协助护士排痰、充气、翻身。</w:t>
            </w:r>
          </w:p>
          <w:p w14:paraId="7567AB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落实相关注意事项：掌握患者进食要求，未送口服药及时通知家属；无家属患者及时电话告知家属；响应家属按铃呼叫。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04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年满18周岁，符合法定用工条件，能够与供应商依法签订用工合同，无不良从业记录；身体健康，提供健康体检报告，无传染性疾病；女性55周岁以下，男性60周岁以下。</w:t>
            </w:r>
          </w:p>
          <w:p w14:paraId="51F62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吃苦耐劳、有耐心、手脚麻利，有陪护经验优先，无经验可培训；服从排班，可接受轮班、夜班，适应ICU病房工作环境。</w:t>
            </w:r>
          </w:p>
          <w:p w14:paraId="3776C9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懂得尊重患者及家属，遵守医院消防安全及各项规章制度；严禁私自收取家属红包，遵守陪护管理规定。</w:t>
            </w:r>
          </w:p>
        </w:tc>
      </w:tr>
      <w:tr w14:paraId="3E085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8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7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制剂中心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E5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药品生产包装</w:t>
            </w:r>
          </w:p>
        </w:tc>
        <w:tc>
          <w:tcPr>
            <w:tcW w:w="65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13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内包洁净岗（GMP 洁净车间）：①上岗严格执行更衣、手部消杀、风淋流程，做好工位洁净维护与清洁消杀记录。②配合自动化包装设备开展药片、胶囊、口服液、药膏等成品药分装、塑封、泡罩、封口、贴标。③核对药品批号、有效期、规格，剔除破损、漏装、印刷错误、受污染不合格品并分类存放。④管控包装耗材，及时上报设备故障、耗材短缺、物料污染问题。⑤配合QA质检巡检，登记生产批次台账，严禁调换、私留、私带药品。⑥下班清点工位物料，清洁设备，分类处理垃圾，完成物料、半成品交接。⑦遵守岗位禁忌：禁止涂改药品日期、私自拆改成品包装、携带药品外出、工位玩手机闲聊；若发生药品报废、批次返工，配合医院开展追责。</w:t>
            </w:r>
          </w:p>
          <w:p w14:paraId="37DCD9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外包装箱岗（普通生产车间）：①开展成品药品分拣核对、外包装、装箱、封箱、打包、码垛。②粘贴外箱批次、物流、防伪标签，确保箱内外药品信息一致，杜绝混规格、混批次装箱。③分类处置包装废料、生产垃圾，保持作业区域整洁。④服从车间产能排班，完成包装产能任务，配合成品库存盘点。⑤遵守岗位禁忌：禁止涂改药品日期、私自拆改成品包装、携带药品外出、工位玩手机闲聊；若发生药品报废、批次返工，配合医院开展追责。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8EE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年龄学历：年龄18-40周岁，特殊情况不超过45周岁；高中及以上学历，具备药企相关工作经验者优先。无不良从业、旷工及频繁离职记录，品行端正。</w:t>
            </w:r>
          </w:p>
          <w:p w14:paraId="3EAE9C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健康及仪容资质：持有食品药品类有效健康证，无皮肤病、呼吸道传染病、药物过敏史；无纹身、无染发，作业期间严禁佩戴首饰、美甲，符合洁净车间上岗仪容规范。</w:t>
            </w:r>
          </w:p>
          <w:p w14:paraId="463584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岗位适配：身体健康、手脚麻利，可适应制药车间恒温洁净环境、站立式作业及流水线作业，能够严格遵守车间消杀、规范更衣流程，服从车间禁带手机、零食等各项管理制度。</w:t>
            </w:r>
          </w:p>
          <w:p w14:paraId="5F5EFB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职业素养：工作细心严谨、服从管理人员及QA质检调度，严格按照SOP标准作业，有效规避药品包装瑕疵、混批、错装等工作问题。</w:t>
            </w:r>
          </w:p>
        </w:tc>
      </w:tr>
      <w:tr w14:paraId="4107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5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1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7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02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7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药品搬运仓储</w:t>
            </w:r>
          </w:p>
        </w:tc>
        <w:tc>
          <w:tcPr>
            <w:tcW w:w="6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65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负责医院原料药材、药用包材、半成品药品、成品药品、不合格退库药品的院内转运、装卸、搬运、移位等工作。</w:t>
            </w:r>
          </w:p>
          <w:p w14:paraId="7360A9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严格按照药品仓储分级规范作业，对阴凉药品、常温药品、高危药用辅料实行分区搬运，严禁混放、重压、倒置、摔砸药品箱体，落实防潮、防摔、防挤压防护要求。</w:t>
            </w:r>
          </w:p>
          <w:p w14:paraId="5D32AA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配合仓储管理人员完成入库卸货、出库装车、库内码垛、货架补货等作业，规范使用液压叉车、手动地牛转运货品，持证人员可合规操作电动叉车开展转运工作。</w:t>
            </w:r>
          </w:p>
          <w:p w14:paraId="74A3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搬运前核查药品外包装及批次标识，对破损、渗漏、污染货品进行隔离搬运并第一时间上报仓管人员，杜绝污染合格药品。</w:t>
            </w:r>
          </w:p>
          <w:p w14:paraId="7DEE8A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负责清理仓储通道、卸货区域杂物，保障转运通道畅通；根据天气情况做好药品防雨、防晒、防潮防护工作。</w:t>
            </w:r>
          </w:p>
          <w:p w14:paraId="3CC21E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严格遵守医院门禁及药品转运管理制度，所有货品进出凭单据搬运，无单据禁止转运，主动配合门卫货品核验、开箱抽查工作。</w:t>
            </w:r>
          </w:p>
          <w:p w14:paraId="50059D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配合完成月度仓储盘点，协助清点原料、成品物资数量，完成上级交办的物料转运、车间补货等临时性工作。</w:t>
            </w:r>
          </w:p>
          <w:p w14:paraId="6B3E85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严守岗位作业纪律，严禁暴力搬运、私自挪用盗取药品、违规混运高危医药原料、无证操作特种设备，因违规操作造成药品损毁、物料丢失的，按规定承担相应责任。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93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年龄性别及体能：年龄20-40周岁，男性优先；身体素质优异，无腰伤、关节伤病，可胜任5—35kg单件负重搬运作业。</w:t>
            </w:r>
          </w:p>
          <w:p w14:paraId="724DD9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学历及资质：高中及以上学历，具备药企仓储、物流搬运、叉车作业经验及有效叉车证者优先；持有食品药品类有效健康证，无传染性疾病。</w:t>
            </w:r>
          </w:p>
          <w:p w14:paraId="2F1FB5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专业能力：熟悉药品仓储防护、消防及危险品管控规范，具备基础货品识别能力，熟练掌握药品分区搬运、防潮、防摔、防挤压作业要求。</w:t>
            </w:r>
          </w:p>
          <w:p w14:paraId="33FF6E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工作适配与素养：服从仓储管理人员调度安排，能适应临时加班、车间跨区域调货工作；严格遵守医院门禁、药品单据转运制度，作业规范严谨、责任心强。</w:t>
            </w:r>
          </w:p>
        </w:tc>
      </w:tr>
      <w:tr w14:paraId="602EB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A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90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0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6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67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全面统筹本项目全部服务岗位日常运营管理，覆盖导医、临床科室辅助、ICU护工、药学工勤、药品生产包装、药品搬运仓储所有岗位，负责人员统筹、现场管控、服务质量监督工作。</w:t>
            </w:r>
          </w:p>
          <w:p w14:paraId="1813D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负责驻场团队全员排班、考勤、岗位调配、顶岗替补、新人岗前督导，及时处理人员异动、缺岗问题，保障各岗位全天候稳定运行。</w:t>
            </w:r>
          </w:p>
          <w:p w14:paraId="0BFE0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严格落实医院规章制度、院感要求、安全生产、药品管理、GMP洁净车间SOP作业规范，常态化现场巡检，及时纠偏违规操作，杜绝安全、质量、院感隐患。</w:t>
            </w:r>
          </w:p>
          <w:p w14:paraId="2CF953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作为供应商唯一现场对接负责人，对接医院各科室、接收工作指令、考核标准及整改要求，落实闭环整改、台账汇总、资料报送、费用报销等。</w:t>
            </w:r>
          </w:p>
          <w:p w14:paraId="1D2AC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开展项目服务质量管控，定期岗位抽查、技能督导、工作复盘，针对药品错装混批、物料损毁、服务不规范、患者投诉等问题建立整改机制，持续优化服务质量。</w:t>
            </w:r>
          </w:p>
          <w:p w14:paraId="4B9224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负责现场应急处置，处理医患咨询投诉、工作纠纷、突发事项，24 小时响应现场问题，确保所有问题闭环处置。</w:t>
            </w:r>
          </w:p>
          <w:p w14:paraId="1ACD47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全力配合医院月度、季度、年度考核及各类专项检查，完成人员资料、服务台账、工作记录汇总归档，完成医院交办的其他管理工作。</w:t>
            </w:r>
          </w:p>
        </w:tc>
        <w:tc>
          <w:tcPr>
            <w:tcW w:w="5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0B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年满18周岁，符合法定用工条件，可依法签订用工合同，无违法犯罪记录、无行业不良从业记录，品行端正、职业素养良好。</w:t>
            </w:r>
          </w:p>
          <w:p w14:paraId="5B2911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大专及以上学历，具备5年及以上同类项目（导医服务、医疗辅助服务相同语义）管理经验，熟悉病区辅助、药学服务、药品GMP生产、仓储搬运全流程管理及院感防控规范知识。</w:t>
            </w:r>
          </w:p>
          <w:p w14:paraId="71FBDA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具备多岗位团队统筹、人员调度、质量管控、应急处置、跨部门沟通协调能力，可独立对接医院各科室，落实考核整改与闭环管理。</w:t>
            </w:r>
          </w:p>
        </w:tc>
      </w:tr>
    </w:tbl>
    <w:p w14:paraId="14AD1DE3">
      <w:pPr>
        <w:pStyle w:val="2"/>
        <w:rPr>
          <w:rFonts w:hint="eastAsia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 w14:paraId="5464B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附件2：</w:t>
      </w:r>
    </w:p>
    <w:p w14:paraId="373B7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意见反馈表</w:t>
      </w:r>
    </w:p>
    <w:p w14:paraId="46D946AB">
      <w:pPr>
        <w:tabs>
          <w:tab w:val="left" w:pos="6066"/>
        </w:tabs>
        <w:bidi w:val="0"/>
        <w:jc w:val="left"/>
        <w:rPr>
          <w:rFonts w:hint="eastAsia" w:eastAsia="宋体" w:cs="Times New Roman"/>
          <w:color w:val="auto"/>
          <w:highlight w:val="none"/>
          <w:lang w:val="en-US" w:eastAsia="zh-CN"/>
        </w:rPr>
      </w:pPr>
      <w:r>
        <w:rPr>
          <w:rFonts w:hint="eastAsia" w:eastAsia="宋体" w:cs="Times New Roman"/>
          <w:color w:val="auto"/>
          <w:highlight w:val="none"/>
          <w:lang w:val="en-US" w:eastAsia="zh-CN"/>
        </w:rPr>
        <w:tab/>
      </w:r>
    </w:p>
    <w:tbl>
      <w:tblPr>
        <w:tblStyle w:val="10"/>
        <w:tblW w:w="9588" w:type="dxa"/>
        <w:tblInd w:w="-4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8"/>
      </w:tblGrid>
      <w:tr w14:paraId="3AEE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9588" w:type="dxa"/>
            <w:noWrap w:val="0"/>
            <w:vAlign w:val="top"/>
          </w:tcPr>
          <w:p w14:paraId="255E8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line="440" w:lineRule="exact"/>
              <w:ind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1.本项目“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调研内容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”表达是否清晰明了？内容是否完善？若有不清楚或不完善，请补充。</w:t>
            </w:r>
          </w:p>
        </w:tc>
      </w:tr>
      <w:tr w14:paraId="731D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</w:trPr>
        <w:tc>
          <w:tcPr>
            <w:tcW w:w="9588" w:type="dxa"/>
            <w:noWrap w:val="0"/>
            <w:vAlign w:val="top"/>
          </w:tcPr>
          <w:p w14:paraId="1BEBF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line="440" w:lineRule="exact"/>
              <w:ind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2.本项目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适用标准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—药品生产质量管理规范、医院中药饮片管理规范、医疗机构中药煎药室管理规范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是否合理？请补充本项目适用标准。</w:t>
            </w:r>
          </w:p>
        </w:tc>
      </w:tr>
      <w:tr w14:paraId="091FB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</w:trPr>
        <w:tc>
          <w:tcPr>
            <w:tcW w:w="9588" w:type="dxa"/>
            <w:noWrap w:val="0"/>
            <w:vAlign w:val="top"/>
          </w:tcPr>
          <w:p w14:paraId="50809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3.拟为本项目配备的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人员及资质</w:t>
            </w:r>
          </w:p>
          <w:p w14:paraId="619A84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822" w:firstLineChars="257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  <w:tbl>
            <w:tblPr>
              <w:tblStyle w:val="9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93"/>
              <w:gridCol w:w="1005"/>
              <w:gridCol w:w="1067"/>
              <w:gridCol w:w="1391"/>
              <w:gridCol w:w="976"/>
              <w:gridCol w:w="932"/>
              <w:gridCol w:w="1256"/>
            </w:tblGrid>
            <w:tr w14:paraId="4DA2F93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30" w:hRule="atLeast"/>
                <w:jc w:val="center"/>
              </w:trPr>
              <w:tc>
                <w:tcPr>
                  <w:tcW w:w="2593" w:type="dxa"/>
                  <w:vMerge w:val="restart"/>
                  <w:vAlign w:val="center"/>
                </w:tcPr>
                <w:p w14:paraId="3EF868E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类别</w:t>
                  </w:r>
                </w:p>
              </w:tc>
              <w:tc>
                <w:tcPr>
                  <w:tcW w:w="1005" w:type="dxa"/>
                  <w:vMerge w:val="restart"/>
                  <w:vAlign w:val="center"/>
                </w:tcPr>
                <w:p w14:paraId="422B683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职务</w:t>
                  </w:r>
                </w:p>
              </w:tc>
              <w:tc>
                <w:tcPr>
                  <w:tcW w:w="1067" w:type="dxa"/>
                  <w:vMerge w:val="restart"/>
                  <w:vAlign w:val="center"/>
                </w:tcPr>
                <w:p w14:paraId="403C1FD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职称</w:t>
                  </w:r>
                </w:p>
              </w:tc>
              <w:tc>
                <w:tcPr>
                  <w:tcW w:w="4555" w:type="dxa"/>
                  <w:gridSpan w:val="4"/>
                  <w:vAlign w:val="center"/>
                </w:tcPr>
                <w:p w14:paraId="0727FB4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资格证明</w:t>
                  </w:r>
                </w:p>
              </w:tc>
            </w:tr>
            <w:tr w14:paraId="752AB8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30" w:hRule="atLeast"/>
                <w:jc w:val="center"/>
              </w:trPr>
              <w:tc>
                <w:tcPr>
                  <w:tcW w:w="2593" w:type="dxa"/>
                  <w:vMerge w:val="continue"/>
                  <w:vAlign w:val="center"/>
                </w:tcPr>
                <w:p w14:paraId="2796908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005" w:type="dxa"/>
                  <w:vMerge w:val="continue"/>
                  <w:vAlign w:val="center"/>
                </w:tcPr>
                <w:p w14:paraId="06EAB0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067" w:type="dxa"/>
                  <w:vMerge w:val="continue"/>
                  <w:vAlign w:val="center"/>
                </w:tcPr>
                <w:p w14:paraId="25B1D13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36E06A6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证书名称</w:t>
                  </w:r>
                </w:p>
              </w:tc>
              <w:tc>
                <w:tcPr>
                  <w:tcW w:w="976" w:type="dxa"/>
                  <w:vAlign w:val="center"/>
                </w:tcPr>
                <w:p w14:paraId="77AC5A2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级别</w:t>
                  </w:r>
                </w:p>
              </w:tc>
              <w:tc>
                <w:tcPr>
                  <w:tcW w:w="932" w:type="dxa"/>
                  <w:vAlign w:val="center"/>
                </w:tcPr>
                <w:p w14:paraId="35D0F66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专业</w:t>
                  </w:r>
                </w:p>
              </w:tc>
              <w:tc>
                <w:tcPr>
                  <w:tcW w:w="1256" w:type="dxa"/>
                  <w:vAlign w:val="center"/>
                </w:tcPr>
                <w:p w14:paraId="11416B1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  <w:lang w:val="en-US" w:eastAsia="zh-CN"/>
                    </w:rPr>
                    <w:t>备注</w:t>
                  </w:r>
                </w:p>
              </w:tc>
            </w:tr>
            <w:tr w14:paraId="665258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31" w:hRule="atLeast"/>
                <w:jc w:val="center"/>
              </w:trPr>
              <w:tc>
                <w:tcPr>
                  <w:tcW w:w="2593" w:type="dxa"/>
                  <w:vAlign w:val="center"/>
                </w:tcPr>
                <w:p w14:paraId="12EE2AC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管理人员</w:t>
                  </w:r>
                </w:p>
              </w:tc>
              <w:tc>
                <w:tcPr>
                  <w:tcW w:w="1005" w:type="dxa"/>
                </w:tcPr>
                <w:p w14:paraId="3B13DC0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067" w:type="dxa"/>
                </w:tcPr>
                <w:p w14:paraId="556969A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391" w:type="dxa"/>
                </w:tcPr>
                <w:p w14:paraId="7557D4A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976" w:type="dxa"/>
                </w:tcPr>
                <w:p w14:paraId="2E81CF9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932" w:type="dxa"/>
                </w:tcPr>
                <w:p w14:paraId="2F26192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256" w:type="dxa"/>
                </w:tcPr>
                <w:p w14:paraId="2BF9F0B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</w:tr>
            <w:tr w14:paraId="0FFAB3A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30" w:hRule="atLeast"/>
                <w:jc w:val="center"/>
              </w:trPr>
              <w:tc>
                <w:tcPr>
                  <w:tcW w:w="2593" w:type="dxa"/>
                  <w:vMerge w:val="restart"/>
                  <w:vAlign w:val="center"/>
                </w:tcPr>
                <w:p w14:paraId="6015ECC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  <w:t>技术人员</w:t>
                  </w:r>
                </w:p>
              </w:tc>
              <w:tc>
                <w:tcPr>
                  <w:tcW w:w="1005" w:type="dxa"/>
                </w:tcPr>
                <w:p w14:paraId="3193199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067" w:type="dxa"/>
                </w:tcPr>
                <w:p w14:paraId="3558C2D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391" w:type="dxa"/>
                </w:tcPr>
                <w:p w14:paraId="578AA94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  <w:r>
                    <w:rPr>
                      <w:rFonts w:hint="eastAsia" w:ascii="仿宋" w:hAnsi="仿宋" w:eastAsia="仿宋" w:cs="仿宋"/>
                      <w:sz w:val="22"/>
                      <w:szCs w:val="22"/>
                      <w:highlight w:val="none"/>
                    </w:rPr>
                    <w:t>N1 叉车司机特种设备作业证书</w:t>
                  </w:r>
                </w:p>
              </w:tc>
              <w:tc>
                <w:tcPr>
                  <w:tcW w:w="976" w:type="dxa"/>
                </w:tcPr>
                <w:p w14:paraId="7C04ADF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932" w:type="dxa"/>
                </w:tcPr>
                <w:p w14:paraId="37C15EF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256" w:type="dxa"/>
                </w:tcPr>
                <w:p w14:paraId="79F3F96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</w:tr>
            <w:tr w14:paraId="3A39C2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31" w:hRule="atLeast"/>
                <w:jc w:val="center"/>
              </w:trPr>
              <w:tc>
                <w:tcPr>
                  <w:tcW w:w="2593" w:type="dxa"/>
                  <w:vMerge w:val="continue"/>
                  <w:vAlign w:val="center"/>
                </w:tcPr>
                <w:p w14:paraId="09EA917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005" w:type="dxa"/>
                </w:tcPr>
                <w:p w14:paraId="1193DEE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067" w:type="dxa"/>
                </w:tcPr>
                <w:p w14:paraId="7CF2A8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391" w:type="dxa"/>
                </w:tcPr>
                <w:p w14:paraId="12A70EC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976" w:type="dxa"/>
                </w:tcPr>
                <w:p w14:paraId="3DEF131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932" w:type="dxa"/>
                </w:tcPr>
                <w:p w14:paraId="2CFF7AE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256" w:type="dxa"/>
                </w:tcPr>
                <w:p w14:paraId="44E32E7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</w:tr>
            <w:tr w14:paraId="3AEF2E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30" w:hRule="atLeast"/>
                <w:jc w:val="center"/>
              </w:trPr>
              <w:tc>
                <w:tcPr>
                  <w:tcW w:w="2593" w:type="dxa"/>
                  <w:vMerge w:val="continue"/>
                  <w:vAlign w:val="center"/>
                </w:tcPr>
                <w:p w14:paraId="11EF56B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005" w:type="dxa"/>
                </w:tcPr>
                <w:p w14:paraId="03642C7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067" w:type="dxa"/>
                </w:tcPr>
                <w:p w14:paraId="11DDCEF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391" w:type="dxa"/>
                </w:tcPr>
                <w:p w14:paraId="27B31E9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976" w:type="dxa"/>
                </w:tcPr>
                <w:p w14:paraId="0A337C4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932" w:type="dxa"/>
                </w:tcPr>
                <w:p w14:paraId="07EB663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  <w:tc>
                <w:tcPr>
                  <w:tcW w:w="1256" w:type="dxa"/>
                </w:tcPr>
                <w:p w14:paraId="574C92C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4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32"/>
                      <w:szCs w:val="32"/>
                      <w:highlight w:val="none"/>
                    </w:rPr>
                  </w:pPr>
                </w:p>
              </w:tc>
            </w:tr>
          </w:tbl>
          <w:p w14:paraId="1BC68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line="440" w:lineRule="exact"/>
              <w:ind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8E3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</w:trPr>
        <w:tc>
          <w:tcPr>
            <w:tcW w:w="9588" w:type="dxa"/>
            <w:noWrap w:val="0"/>
            <w:vAlign w:val="top"/>
          </w:tcPr>
          <w:p w14:paraId="657E7B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line="440" w:lineRule="exact"/>
              <w:ind w:leftChars="0" w:firstLine="640" w:firstLineChars="200"/>
              <w:jc w:val="both"/>
              <w:textAlignment w:val="auto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4.为提高抗风险能力，投标人须为本项目人员购买人身意外险和公众责任险（保额不低于人民币一千万元），履约之日起15日内将相关承保资料提交给采购人备案。有无异议？</w:t>
            </w:r>
          </w:p>
        </w:tc>
      </w:tr>
      <w:tr w14:paraId="19F7B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</w:trPr>
        <w:tc>
          <w:tcPr>
            <w:tcW w:w="9588" w:type="dxa"/>
            <w:noWrap w:val="0"/>
            <w:vAlign w:val="top"/>
          </w:tcPr>
          <w:p w14:paraId="0AFE27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line="440" w:lineRule="exact"/>
              <w:ind w:leftChars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本项目要求供应商履约前至少15日提交本项目的人员花名册、健康证等相关资质。每延迟一日缴纳违约金500元，延迟5日采购人有权解除合同。有无异议？</w:t>
            </w:r>
          </w:p>
          <w:p w14:paraId="2316710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</w:tr>
      <w:tr w14:paraId="0C019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</w:trPr>
        <w:tc>
          <w:tcPr>
            <w:tcW w:w="9588" w:type="dxa"/>
            <w:noWrap w:val="0"/>
            <w:vAlign w:val="top"/>
          </w:tcPr>
          <w:p w14:paraId="771F5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line="440" w:lineRule="exact"/>
              <w:ind w:leftChars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采购人须有人员替代方案，采购人有权要求投标人更换（或退回）不能满足服务要求的人员，该人员的后续就业或补偿等均由投标人承担。因故导致服务人员缺岗的，投标人须在缺岗发生之日起3日内安排合格人员到岗，以保证采购人业务正常开展。缺岗连续超过3日，则按该缺岗岗位月度结算费用的1/2扣除，15日仍未到岗采购人有权扣除该缺岗岗位当月全部费用。有无异议？</w:t>
            </w:r>
          </w:p>
        </w:tc>
      </w:tr>
      <w:tr w14:paraId="365C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9588" w:type="dxa"/>
            <w:noWrap w:val="0"/>
            <w:vAlign w:val="top"/>
          </w:tcPr>
          <w:p w14:paraId="434078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afterLines="0" w:line="440" w:lineRule="exact"/>
              <w:ind w:leftChars="0"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本项目所属行业为“其他未列明行业”，调研供应商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是否为中小企业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？</w:t>
            </w:r>
          </w:p>
          <w:p w14:paraId="2B586B88">
            <w:pPr>
              <w:rPr>
                <w:rFonts w:hint="eastAsia" w:eastAsia="宋体" w:cs="Times New Roman"/>
                <w:lang w:val="en-US" w:eastAsia="zh-CN"/>
              </w:rPr>
            </w:pPr>
          </w:p>
        </w:tc>
      </w:tr>
    </w:tbl>
    <w:p w14:paraId="2340AEAC">
      <w:pPr>
        <w:rPr>
          <w:rFonts w:hint="default" w:eastAsia="宋体" w:cs="Times New Roman"/>
          <w:lang w:val="en-US" w:eastAsia="zh-CN"/>
        </w:rPr>
      </w:pPr>
    </w:p>
    <w:p w14:paraId="17CAA765">
      <w:pPr>
        <w:rPr>
          <w:rFonts w:hint="default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br w:type="page"/>
      </w:r>
    </w:p>
    <w:p w14:paraId="7A1B3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70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附件3：</w:t>
      </w:r>
    </w:p>
    <w:p w14:paraId="3A2F7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2023年1月1日至今类似项目业绩统计表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615"/>
        <w:gridCol w:w="1466"/>
        <w:gridCol w:w="1626"/>
        <w:gridCol w:w="1845"/>
        <w:gridCol w:w="1401"/>
      </w:tblGrid>
      <w:tr w14:paraId="2414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24" w:type="dxa"/>
            <w:noWrap w:val="0"/>
            <w:vAlign w:val="top"/>
          </w:tcPr>
          <w:p w14:paraId="5C8E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615" w:type="dxa"/>
            <w:noWrap w:val="0"/>
            <w:vAlign w:val="top"/>
          </w:tcPr>
          <w:p w14:paraId="22AEE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合同名称</w:t>
            </w:r>
          </w:p>
        </w:tc>
        <w:tc>
          <w:tcPr>
            <w:tcW w:w="1466" w:type="dxa"/>
            <w:noWrap w:val="0"/>
            <w:vAlign w:val="top"/>
          </w:tcPr>
          <w:p w14:paraId="08124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采购单位</w:t>
            </w:r>
          </w:p>
        </w:tc>
        <w:tc>
          <w:tcPr>
            <w:tcW w:w="1626" w:type="dxa"/>
            <w:noWrap w:val="0"/>
            <w:vAlign w:val="top"/>
          </w:tcPr>
          <w:p w14:paraId="63747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合同起止日期</w:t>
            </w:r>
          </w:p>
        </w:tc>
        <w:tc>
          <w:tcPr>
            <w:tcW w:w="1845" w:type="dxa"/>
            <w:noWrap w:val="0"/>
            <w:vAlign w:val="top"/>
          </w:tcPr>
          <w:p w14:paraId="623C1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合同金额（万元）</w:t>
            </w:r>
          </w:p>
        </w:tc>
        <w:tc>
          <w:tcPr>
            <w:tcW w:w="1401" w:type="dxa"/>
            <w:noWrap w:val="0"/>
            <w:vAlign w:val="top"/>
          </w:tcPr>
          <w:p w14:paraId="60A34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备注</w:t>
            </w:r>
          </w:p>
        </w:tc>
      </w:tr>
      <w:tr w14:paraId="1254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24" w:type="dxa"/>
            <w:noWrap w:val="0"/>
            <w:vAlign w:val="top"/>
          </w:tcPr>
          <w:p w14:paraId="20015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615" w:type="dxa"/>
            <w:noWrap w:val="0"/>
            <w:vAlign w:val="top"/>
          </w:tcPr>
          <w:p w14:paraId="615FF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6" w:type="dxa"/>
            <w:noWrap w:val="0"/>
            <w:vAlign w:val="top"/>
          </w:tcPr>
          <w:p w14:paraId="5A93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26" w:type="dxa"/>
            <w:noWrap w:val="0"/>
            <w:vAlign w:val="top"/>
          </w:tcPr>
          <w:p w14:paraId="54BE2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45" w:type="dxa"/>
            <w:noWrap w:val="0"/>
            <w:vAlign w:val="top"/>
          </w:tcPr>
          <w:p w14:paraId="12F57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01" w:type="dxa"/>
            <w:noWrap w:val="0"/>
            <w:vAlign w:val="top"/>
          </w:tcPr>
          <w:p w14:paraId="167C0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99F4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24" w:type="dxa"/>
            <w:noWrap w:val="0"/>
            <w:vAlign w:val="top"/>
          </w:tcPr>
          <w:p w14:paraId="050F2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615" w:type="dxa"/>
            <w:noWrap w:val="0"/>
            <w:vAlign w:val="top"/>
          </w:tcPr>
          <w:p w14:paraId="22730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6" w:type="dxa"/>
            <w:noWrap w:val="0"/>
            <w:vAlign w:val="top"/>
          </w:tcPr>
          <w:p w14:paraId="63C03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26" w:type="dxa"/>
            <w:noWrap w:val="0"/>
            <w:vAlign w:val="top"/>
          </w:tcPr>
          <w:p w14:paraId="28016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45" w:type="dxa"/>
            <w:noWrap w:val="0"/>
            <w:vAlign w:val="top"/>
          </w:tcPr>
          <w:p w14:paraId="41075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01" w:type="dxa"/>
            <w:noWrap w:val="0"/>
            <w:vAlign w:val="top"/>
          </w:tcPr>
          <w:p w14:paraId="7A71A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00CF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24" w:type="dxa"/>
            <w:noWrap w:val="0"/>
            <w:vAlign w:val="top"/>
          </w:tcPr>
          <w:p w14:paraId="16138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615" w:type="dxa"/>
            <w:noWrap w:val="0"/>
            <w:vAlign w:val="top"/>
          </w:tcPr>
          <w:p w14:paraId="71EAB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6" w:type="dxa"/>
            <w:noWrap w:val="0"/>
            <w:vAlign w:val="top"/>
          </w:tcPr>
          <w:p w14:paraId="27F9B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26" w:type="dxa"/>
            <w:noWrap w:val="0"/>
            <w:vAlign w:val="top"/>
          </w:tcPr>
          <w:p w14:paraId="2AEA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45" w:type="dxa"/>
            <w:noWrap w:val="0"/>
            <w:vAlign w:val="top"/>
          </w:tcPr>
          <w:p w14:paraId="471C2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01" w:type="dxa"/>
            <w:noWrap w:val="0"/>
            <w:vAlign w:val="top"/>
          </w:tcPr>
          <w:p w14:paraId="4F7DD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FF1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24" w:type="dxa"/>
            <w:noWrap w:val="0"/>
            <w:vAlign w:val="top"/>
          </w:tcPr>
          <w:p w14:paraId="7A2B8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615" w:type="dxa"/>
            <w:noWrap w:val="0"/>
            <w:vAlign w:val="top"/>
          </w:tcPr>
          <w:p w14:paraId="62F8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6" w:type="dxa"/>
            <w:noWrap w:val="0"/>
            <w:vAlign w:val="top"/>
          </w:tcPr>
          <w:p w14:paraId="15406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26" w:type="dxa"/>
            <w:noWrap w:val="0"/>
            <w:vAlign w:val="top"/>
          </w:tcPr>
          <w:p w14:paraId="2412F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45" w:type="dxa"/>
            <w:noWrap w:val="0"/>
            <w:vAlign w:val="top"/>
          </w:tcPr>
          <w:p w14:paraId="0EB67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01" w:type="dxa"/>
            <w:noWrap w:val="0"/>
            <w:vAlign w:val="top"/>
          </w:tcPr>
          <w:p w14:paraId="5A908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ED3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24" w:type="dxa"/>
            <w:noWrap w:val="0"/>
            <w:vAlign w:val="top"/>
          </w:tcPr>
          <w:p w14:paraId="00703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615" w:type="dxa"/>
            <w:noWrap w:val="0"/>
            <w:vAlign w:val="top"/>
          </w:tcPr>
          <w:p w14:paraId="27022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6" w:type="dxa"/>
            <w:noWrap w:val="0"/>
            <w:vAlign w:val="top"/>
          </w:tcPr>
          <w:p w14:paraId="03B63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26" w:type="dxa"/>
            <w:noWrap w:val="0"/>
            <w:vAlign w:val="top"/>
          </w:tcPr>
          <w:p w14:paraId="618C9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45" w:type="dxa"/>
            <w:noWrap w:val="0"/>
            <w:vAlign w:val="top"/>
          </w:tcPr>
          <w:p w14:paraId="131E2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01" w:type="dxa"/>
            <w:noWrap w:val="0"/>
            <w:vAlign w:val="top"/>
          </w:tcPr>
          <w:p w14:paraId="5E544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094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24" w:type="dxa"/>
            <w:noWrap w:val="0"/>
            <w:vAlign w:val="top"/>
          </w:tcPr>
          <w:p w14:paraId="41913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  <w:t>...</w:t>
            </w:r>
          </w:p>
        </w:tc>
        <w:tc>
          <w:tcPr>
            <w:tcW w:w="1615" w:type="dxa"/>
            <w:noWrap w:val="0"/>
            <w:vAlign w:val="top"/>
          </w:tcPr>
          <w:p w14:paraId="76E48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6" w:type="dxa"/>
            <w:noWrap w:val="0"/>
            <w:vAlign w:val="top"/>
          </w:tcPr>
          <w:p w14:paraId="22ACB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626" w:type="dxa"/>
            <w:noWrap w:val="0"/>
            <w:vAlign w:val="top"/>
          </w:tcPr>
          <w:p w14:paraId="13381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45" w:type="dxa"/>
            <w:noWrap w:val="0"/>
            <w:vAlign w:val="top"/>
          </w:tcPr>
          <w:p w14:paraId="70AAA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01" w:type="dxa"/>
            <w:noWrap w:val="0"/>
            <w:vAlign w:val="top"/>
          </w:tcPr>
          <w:p w14:paraId="6B01B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vertAlign w:val="baseline"/>
                <w:lang w:val="en-US" w:eastAsia="zh-CN" w:bidi="ar"/>
              </w:rPr>
            </w:pPr>
          </w:p>
        </w:tc>
      </w:tr>
    </w:tbl>
    <w:p w14:paraId="0E6E1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184E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 w14:paraId="0C354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700" w:lineRule="exact"/>
        <w:ind w:left="0" w:right="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4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：</w:t>
      </w:r>
    </w:p>
    <w:p w14:paraId="37F5A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报价表</w:t>
      </w:r>
    </w:p>
    <w:tbl>
      <w:tblPr>
        <w:tblStyle w:val="9"/>
        <w:tblW w:w="9881" w:type="dxa"/>
        <w:tblInd w:w="-7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455"/>
        <w:gridCol w:w="2250"/>
        <w:gridCol w:w="1470"/>
        <w:gridCol w:w="1485"/>
        <w:gridCol w:w="2471"/>
      </w:tblGrid>
      <w:tr w14:paraId="30B78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0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F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需求科室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B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7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武侯院区拟配人数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8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天府院区拟配人数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F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月度结算费用报价</w:t>
            </w:r>
          </w:p>
          <w:p w14:paraId="23380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（元/岗/月）</w:t>
            </w:r>
          </w:p>
        </w:tc>
      </w:tr>
      <w:tr w14:paraId="7D370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D3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F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护理部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0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门诊导医服务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C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B3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6B42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C4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E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临床科室辅助工人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7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92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8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F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药学部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3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工勤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D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A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5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DE7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6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1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天府院区重症医学科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7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护工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65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F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3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EE1C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3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5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A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制剂中心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54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药品生产包装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4E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2E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12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2D85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7A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8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3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药品搬运仓储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C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C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326A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C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6A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2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F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C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CA84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6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说明：</w:t>
            </w:r>
          </w:p>
          <w:p w14:paraId="535EB9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425" w:leftChars="0" w:hanging="425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供应商须根据《中华人民共和国劳动法》《中华人民共和国劳动合同法》《中华人民共和国社会保险法》及《中华人民共和国民法典》承担管理责任。</w:t>
            </w:r>
          </w:p>
          <w:p w14:paraId="63264A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425" w:leftChars="0" w:hanging="425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月度结算费用含人员费用（至少包含员工基本工资、绩效、社保费、福利费、节假日按国家规定标准发放的加班费等法律规定的费用）、通讯费、差旅费、办公用品、培训费、管理费、合理利润、税费等与本项目相关的所有费用。</w:t>
            </w:r>
          </w:p>
          <w:p w14:paraId="6C2743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425" w:leftChars="0" w:hanging="425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每月定期考核，满分为100分。考核结果与服务费结算挂钩。考核期间如有服务质量投诉等问题，经核实采购人有权对供应商进行扣罚。</w:t>
            </w:r>
          </w:p>
        </w:tc>
      </w:tr>
    </w:tbl>
    <w:p w14:paraId="07BBAA90">
      <w:pPr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CB50AE"/>
    <w:multiLevelType w:val="singleLevel"/>
    <w:tmpl w:val="8FCB50AE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A41E95A9"/>
    <w:multiLevelType w:val="singleLevel"/>
    <w:tmpl w:val="A41E95A9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B19D3EC7"/>
    <w:multiLevelType w:val="singleLevel"/>
    <w:tmpl w:val="B19D3EC7"/>
    <w:lvl w:ilvl="0" w:tentative="0">
      <w:start w:val="5"/>
      <w:numFmt w:val="decimal"/>
      <w:suff w:val="nothing"/>
      <w:lvlText w:val="%1、"/>
      <w:lvlJc w:val="left"/>
      <w:rPr>
        <w:rFonts w:hint="default"/>
        <w:sz w:val="32"/>
        <w:szCs w:val="32"/>
      </w:rPr>
    </w:lvl>
  </w:abstractNum>
  <w:abstractNum w:abstractNumId="3">
    <w:nsid w:val="B64BC7A3"/>
    <w:multiLevelType w:val="singleLevel"/>
    <w:tmpl w:val="B64BC7A3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BC56D9FC"/>
    <w:multiLevelType w:val="singleLevel"/>
    <w:tmpl w:val="BC56D9FC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D074836F"/>
    <w:multiLevelType w:val="singleLevel"/>
    <w:tmpl w:val="D074836F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F1559FCB"/>
    <w:multiLevelType w:val="singleLevel"/>
    <w:tmpl w:val="F1559FCB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7">
    <w:nsid w:val="FBAD23DA"/>
    <w:multiLevelType w:val="singleLevel"/>
    <w:tmpl w:val="FBAD23DA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8">
    <w:nsid w:val="054279D0"/>
    <w:multiLevelType w:val="singleLevel"/>
    <w:tmpl w:val="054279D0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07BB294D"/>
    <w:multiLevelType w:val="singleLevel"/>
    <w:tmpl w:val="07BB294D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13410E0D"/>
    <w:multiLevelType w:val="singleLevel"/>
    <w:tmpl w:val="13410E0D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11">
    <w:nsid w:val="1BB5AE3F"/>
    <w:multiLevelType w:val="singleLevel"/>
    <w:tmpl w:val="1BB5AE3F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12">
    <w:nsid w:val="31038D36"/>
    <w:multiLevelType w:val="singleLevel"/>
    <w:tmpl w:val="31038D36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48A1812E"/>
    <w:multiLevelType w:val="singleLevel"/>
    <w:tmpl w:val="48A1812E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14">
    <w:nsid w:val="65E8D53F"/>
    <w:multiLevelType w:val="singleLevel"/>
    <w:tmpl w:val="65E8D53F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abstractNum w:abstractNumId="15">
    <w:nsid w:val="7E3B84B1"/>
    <w:multiLevelType w:val="singleLevel"/>
    <w:tmpl w:val="7E3B84B1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13"/>
  </w:num>
  <w:num w:numId="5">
    <w:abstractNumId w:val="3"/>
  </w:num>
  <w:num w:numId="6">
    <w:abstractNumId w:val="9"/>
  </w:num>
  <w:num w:numId="7">
    <w:abstractNumId w:val="5"/>
  </w:num>
  <w:num w:numId="8">
    <w:abstractNumId w:val="0"/>
  </w:num>
  <w:num w:numId="9">
    <w:abstractNumId w:val="12"/>
  </w:num>
  <w:num w:numId="10">
    <w:abstractNumId w:val="4"/>
  </w:num>
  <w:num w:numId="11">
    <w:abstractNumId w:val="7"/>
  </w:num>
  <w:num w:numId="12">
    <w:abstractNumId w:val="1"/>
  </w:num>
  <w:num w:numId="13">
    <w:abstractNumId w:val="6"/>
  </w:num>
  <w:num w:numId="14">
    <w:abstractNumId w:val="11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M2VjZDk1MGRjNTJiMmU3MjlkOTgzNGU3NmNhMmUifQ=="/>
  </w:docVars>
  <w:rsids>
    <w:rsidRoot w:val="65E225CC"/>
    <w:rsid w:val="00270BE1"/>
    <w:rsid w:val="004479E5"/>
    <w:rsid w:val="00DA3EA5"/>
    <w:rsid w:val="00FB072D"/>
    <w:rsid w:val="0154654A"/>
    <w:rsid w:val="02557C87"/>
    <w:rsid w:val="025D4D8E"/>
    <w:rsid w:val="0270061D"/>
    <w:rsid w:val="02AB5AF9"/>
    <w:rsid w:val="02F23728"/>
    <w:rsid w:val="03062D2F"/>
    <w:rsid w:val="04416380"/>
    <w:rsid w:val="04576AAB"/>
    <w:rsid w:val="04E90B5B"/>
    <w:rsid w:val="04EB48D3"/>
    <w:rsid w:val="04F232BC"/>
    <w:rsid w:val="05085485"/>
    <w:rsid w:val="05B248E3"/>
    <w:rsid w:val="05F23A3F"/>
    <w:rsid w:val="0659586C"/>
    <w:rsid w:val="065D535C"/>
    <w:rsid w:val="06C158EB"/>
    <w:rsid w:val="06C93C49"/>
    <w:rsid w:val="0717680A"/>
    <w:rsid w:val="073A0A7B"/>
    <w:rsid w:val="077566D6"/>
    <w:rsid w:val="07A174CB"/>
    <w:rsid w:val="07D94EB6"/>
    <w:rsid w:val="082500FC"/>
    <w:rsid w:val="08E7575A"/>
    <w:rsid w:val="09296213"/>
    <w:rsid w:val="09A3577C"/>
    <w:rsid w:val="09A84B40"/>
    <w:rsid w:val="09C31DFC"/>
    <w:rsid w:val="09F064E7"/>
    <w:rsid w:val="0B037581"/>
    <w:rsid w:val="0BA457DB"/>
    <w:rsid w:val="0BBB664F"/>
    <w:rsid w:val="0BDA11FD"/>
    <w:rsid w:val="0CCC6D98"/>
    <w:rsid w:val="0D4109D0"/>
    <w:rsid w:val="0DDA7292"/>
    <w:rsid w:val="0E114925"/>
    <w:rsid w:val="0E4A4418"/>
    <w:rsid w:val="0E5A3EDA"/>
    <w:rsid w:val="0EA37FCC"/>
    <w:rsid w:val="10081C5D"/>
    <w:rsid w:val="103A226A"/>
    <w:rsid w:val="108005C5"/>
    <w:rsid w:val="112E6273"/>
    <w:rsid w:val="11A809C3"/>
    <w:rsid w:val="12722596"/>
    <w:rsid w:val="134F24D1"/>
    <w:rsid w:val="136F3FAF"/>
    <w:rsid w:val="13862F37"/>
    <w:rsid w:val="13F35552"/>
    <w:rsid w:val="14045069"/>
    <w:rsid w:val="14CF38C9"/>
    <w:rsid w:val="14E8498B"/>
    <w:rsid w:val="14F727B7"/>
    <w:rsid w:val="15D84578"/>
    <w:rsid w:val="16094BB9"/>
    <w:rsid w:val="16557DFE"/>
    <w:rsid w:val="17375756"/>
    <w:rsid w:val="18BF3C55"/>
    <w:rsid w:val="18EE4D0E"/>
    <w:rsid w:val="19A5109C"/>
    <w:rsid w:val="1A825786"/>
    <w:rsid w:val="1ABC669E"/>
    <w:rsid w:val="1AD05CA5"/>
    <w:rsid w:val="1B803B6F"/>
    <w:rsid w:val="1C2344FA"/>
    <w:rsid w:val="1D17405F"/>
    <w:rsid w:val="1D2620E7"/>
    <w:rsid w:val="1D9424D4"/>
    <w:rsid w:val="1DC842EC"/>
    <w:rsid w:val="1DF12B02"/>
    <w:rsid w:val="1E236A34"/>
    <w:rsid w:val="1E8474D2"/>
    <w:rsid w:val="1E933BB9"/>
    <w:rsid w:val="1EBD0C36"/>
    <w:rsid w:val="1EFB7A76"/>
    <w:rsid w:val="1F3A2287"/>
    <w:rsid w:val="201B5C14"/>
    <w:rsid w:val="208E4638"/>
    <w:rsid w:val="209B2CBE"/>
    <w:rsid w:val="213572B1"/>
    <w:rsid w:val="21507B40"/>
    <w:rsid w:val="216C09A3"/>
    <w:rsid w:val="21DC5877"/>
    <w:rsid w:val="22325497"/>
    <w:rsid w:val="22CC1448"/>
    <w:rsid w:val="232674C5"/>
    <w:rsid w:val="23351065"/>
    <w:rsid w:val="23D04F68"/>
    <w:rsid w:val="246A173A"/>
    <w:rsid w:val="24CA7C09"/>
    <w:rsid w:val="253B28B5"/>
    <w:rsid w:val="25981AB5"/>
    <w:rsid w:val="25A22934"/>
    <w:rsid w:val="27F05BD9"/>
    <w:rsid w:val="280451E0"/>
    <w:rsid w:val="29CB23E9"/>
    <w:rsid w:val="29E277A3"/>
    <w:rsid w:val="2A691C72"/>
    <w:rsid w:val="2A900FAD"/>
    <w:rsid w:val="2AA809EC"/>
    <w:rsid w:val="2AC82E3D"/>
    <w:rsid w:val="2C723060"/>
    <w:rsid w:val="2C8C611B"/>
    <w:rsid w:val="2CF241A1"/>
    <w:rsid w:val="2CF55A3F"/>
    <w:rsid w:val="2D4C4236"/>
    <w:rsid w:val="2DAC07F4"/>
    <w:rsid w:val="2E620ED9"/>
    <w:rsid w:val="300B4316"/>
    <w:rsid w:val="319D13A2"/>
    <w:rsid w:val="331631BA"/>
    <w:rsid w:val="3353526D"/>
    <w:rsid w:val="337B4EF0"/>
    <w:rsid w:val="3575596F"/>
    <w:rsid w:val="362D410B"/>
    <w:rsid w:val="373B6744"/>
    <w:rsid w:val="37570A34"/>
    <w:rsid w:val="38767F1F"/>
    <w:rsid w:val="39131727"/>
    <w:rsid w:val="391C188A"/>
    <w:rsid w:val="39ED01CA"/>
    <w:rsid w:val="3B690F3D"/>
    <w:rsid w:val="3BAA7614"/>
    <w:rsid w:val="3BDC22A4"/>
    <w:rsid w:val="3C1A2DCC"/>
    <w:rsid w:val="3C1D466B"/>
    <w:rsid w:val="3C4D6CFE"/>
    <w:rsid w:val="3D540560"/>
    <w:rsid w:val="3E3650F4"/>
    <w:rsid w:val="3EEA6F99"/>
    <w:rsid w:val="3F2C52F0"/>
    <w:rsid w:val="3F537863"/>
    <w:rsid w:val="3F724C94"/>
    <w:rsid w:val="3FAE3F57"/>
    <w:rsid w:val="3FD142AD"/>
    <w:rsid w:val="3FFE6181"/>
    <w:rsid w:val="404B5C4A"/>
    <w:rsid w:val="41391F47"/>
    <w:rsid w:val="41DF489C"/>
    <w:rsid w:val="41E719A3"/>
    <w:rsid w:val="432E715D"/>
    <w:rsid w:val="433F4619"/>
    <w:rsid w:val="44406889"/>
    <w:rsid w:val="4441183E"/>
    <w:rsid w:val="447C7AB1"/>
    <w:rsid w:val="44BF7971"/>
    <w:rsid w:val="45537FAA"/>
    <w:rsid w:val="4585575A"/>
    <w:rsid w:val="45877724"/>
    <w:rsid w:val="4689127A"/>
    <w:rsid w:val="46CE3131"/>
    <w:rsid w:val="46D3412A"/>
    <w:rsid w:val="46EC7395"/>
    <w:rsid w:val="47721D0E"/>
    <w:rsid w:val="478C0F23"/>
    <w:rsid w:val="4823125B"/>
    <w:rsid w:val="4867383D"/>
    <w:rsid w:val="49381F22"/>
    <w:rsid w:val="49D934E7"/>
    <w:rsid w:val="4A5B4CDC"/>
    <w:rsid w:val="4A7A7858"/>
    <w:rsid w:val="4A842484"/>
    <w:rsid w:val="4AE41175"/>
    <w:rsid w:val="4C516396"/>
    <w:rsid w:val="4C7D53DD"/>
    <w:rsid w:val="4D741851"/>
    <w:rsid w:val="4D9724CF"/>
    <w:rsid w:val="4DAE5A6A"/>
    <w:rsid w:val="4DFD1361"/>
    <w:rsid w:val="4E555A61"/>
    <w:rsid w:val="4E5C7274"/>
    <w:rsid w:val="4EC45545"/>
    <w:rsid w:val="4FA669F9"/>
    <w:rsid w:val="4FF357BC"/>
    <w:rsid w:val="502D0EC8"/>
    <w:rsid w:val="506B7C43"/>
    <w:rsid w:val="50EC48E0"/>
    <w:rsid w:val="512978E2"/>
    <w:rsid w:val="513B5867"/>
    <w:rsid w:val="52075749"/>
    <w:rsid w:val="526324EF"/>
    <w:rsid w:val="52E37F64"/>
    <w:rsid w:val="52EA6BFA"/>
    <w:rsid w:val="53195734"/>
    <w:rsid w:val="53204D14"/>
    <w:rsid w:val="533B56AA"/>
    <w:rsid w:val="53EE0F59"/>
    <w:rsid w:val="546E3CE7"/>
    <w:rsid w:val="54D933CD"/>
    <w:rsid w:val="54DB0E06"/>
    <w:rsid w:val="553257DE"/>
    <w:rsid w:val="55C7591B"/>
    <w:rsid w:val="56927CD7"/>
    <w:rsid w:val="58093FC9"/>
    <w:rsid w:val="580D08D9"/>
    <w:rsid w:val="580F798E"/>
    <w:rsid w:val="585E7C8F"/>
    <w:rsid w:val="596D2694"/>
    <w:rsid w:val="59DF5911"/>
    <w:rsid w:val="5A5F6122"/>
    <w:rsid w:val="5A7B6CD4"/>
    <w:rsid w:val="5AE20B01"/>
    <w:rsid w:val="5AF076C2"/>
    <w:rsid w:val="5BA54009"/>
    <w:rsid w:val="5C734F6B"/>
    <w:rsid w:val="5C9B365E"/>
    <w:rsid w:val="5CD03307"/>
    <w:rsid w:val="5EC75A8B"/>
    <w:rsid w:val="5F7623AC"/>
    <w:rsid w:val="5F950838"/>
    <w:rsid w:val="5FBE662B"/>
    <w:rsid w:val="60025ECE"/>
    <w:rsid w:val="60152463"/>
    <w:rsid w:val="602A71D2"/>
    <w:rsid w:val="60624BBE"/>
    <w:rsid w:val="61270436"/>
    <w:rsid w:val="6445282D"/>
    <w:rsid w:val="64583B39"/>
    <w:rsid w:val="6463660A"/>
    <w:rsid w:val="64F93617"/>
    <w:rsid w:val="653B59DE"/>
    <w:rsid w:val="654900FB"/>
    <w:rsid w:val="65E225CC"/>
    <w:rsid w:val="663F14FE"/>
    <w:rsid w:val="668C4A2E"/>
    <w:rsid w:val="66D6776C"/>
    <w:rsid w:val="67572E32"/>
    <w:rsid w:val="67E57B35"/>
    <w:rsid w:val="69076303"/>
    <w:rsid w:val="69230C63"/>
    <w:rsid w:val="698C2CAC"/>
    <w:rsid w:val="6ADF6E0B"/>
    <w:rsid w:val="6B421874"/>
    <w:rsid w:val="6BAF4A30"/>
    <w:rsid w:val="6C4038DA"/>
    <w:rsid w:val="6C823EF2"/>
    <w:rsid w:val="6C9A748E"/>
    <w:rsid w:val="6CA36CF8"/>
    <w:rsid w:val="6CD56718"/>
    <w:rsid w:val="6CD81D64"/>
    <w:rsid w:val="6CEF1588"/>
    <w:rsid w:val="6CF941B4"/>
    <w:rsid w:val="6D527D69"/>
    <w:rsid w:val="6DD32BCE"/>
    <w:rsid w:val="6DE704B1"/>
    <w:rsid w:val="6E1A0886"/>
    <w:rsid w:val="6E250FD9"/>
    <w:rsid w:val="6E3F5A33"/>
    <w:rsid w:val="6E7F693B"/>
    <w:rsid w:val="6F26568C"/>
    <w:rsid w:val="6F59718C"/>
    <w:rsid w:val="6F9957DB"/>
    <w:rsid w:val="6FDC1B6B"/>
    <w:rsid w:val="6FE21015"/>
    <w:rsid w:val="6FE427A5"/>
    <w:rsid w:val="6FF375E1"/>
    <w:rsid w:val="72097699"/>
    <w:rsid w:val="720E0702"/>
    <w:rsid w:val="721B2E1F"/>
    <w:rsid w:val="73310FF5"/>
    <w:rsid w:val="7346211D"/>
    <w:rsid w:val="73903399"/>
    <w:rsid w:val="73B76B77"/>
    <w:rsid w:val="74017DF2"/>
    <w:rsid w:val="7407365B"/>
    <w:rsid w:val="740F2ADF"/>
    <w:rsid w:val="74B126CC"/>
    <w:rsid w:val="75987C7B"/>
    <w:rsid w:val="75A14D82"/>
    <w:rsid w:val="76200A04"/>
    <w:rsid w:val="762D1373"/>
    <w:rsid w:val="768F3E4B"/>
    <w:rsid w:val="76B7057B"/>
    <w:rsid w:val="76DA32A9"/>
    <w:rsid w:val="775E2FA5"/>
    <w:rsid w:val="79AD6A52"/>
    <w:rsid w:val="7A5E1AFB"/>
    <w:rsid w:val="7AA80FC8"/>
    <w:rsid w:val="7B3B008E"/>
    <w:rsid w:val="7B3D3E06"/>
    <w:rsid w:val="7B3D73EE"/>
    <w:rsid w:val="7B4231CA"/>
    <w:rsid w:val="7B4B6523"/>
    <w:rsid w:val="7B6770D5"/>
    <w:rsid w:val="7B7D4202"/>
    <w:rsid w:val="7BA619AB"/>
    <w:rsid w:val="7BF85F7F"/>
    <w:rsid w:val="7C134B67"/>
    <w:rsid w:val="7C1941D0"/>
    <w:rsid w:val="7C7236B9"/>
    <w:rsid w:val="7D38217E"/>
    <w:rsid w:val="7D5176F5"/>
    <w:rsid w:val="7DAA32A9"/>
    <w:rsid w:val="7DB14637"/>
    <w:rsid w:val="7DCF647C"/>
    <w:rsid w:val="7E2B263C"/>
    <w:rsid w:val="7EC34622"/>
    <w:rsid w:val="7F17496E"/>
    <w:rsid w:val="7F405C73"/>
    <w:rsid w:val="7F477001"/>
    <w:rsid w:val="7FB6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4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unhideWhenUsed/>
    <w:qFormat/>
    <w:uiPriority w:val="99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qFormat/>
    <w:uiPriority w:val="99"/>
    <w:rPr>
      <w:sz w:val="21"/>
      <w:szCs w:val="21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</w:style>
  <w:style w:type="paragraph" w:customStyle="1" w:styleId="16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e46f9e78-243d-4f6f-8a07-c8d355477347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10B8335F</paraID>
      <start>48</start>
      <end>56</end>
      <status>unmodified</status>
      <modifiedWord/>
      <trackRevisions>false</trackRevisions>
    </reviewItem>
    <reviewItem>
      <errorID>7ebc152b-824b-4d24-a37a-d17d0ab86e09</errorID>
      <errorWord>ICU病房</errorWord>
      <group>L1_Word</group>
      <groupName>字词问题</groupName>
      <ability>L2_Typo</ability>
      <abilityName>字词错误</abilityName>
      <candidateList>
        <item>ICU</item>
      </candidateList>
      <explain/>
      <paraID>51F62018</paraID>
      <start>45</start>
      <end>50</end>
      <status>unmodified</status>
      <modifiedWord/>
      <trackRevisions>false</trackRevisions>
    </reviewItem>
    <reviewItem>
      <errorID>3661949a-dcdb-4210-9900-a6fa1cbba39f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3EAE9CBF</paraID>
      <start>40</start>
      <end>42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7fe4624-df4e-4921-958c-61b36466a4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6065</Words>
  <Characters>6249</Characters>
  <Lines>0</Lines>
  <Paragraphs>0</Paragraphs>
  <TotalTime>23</TotalTime>
  <ScaleCrop>false</ScaleCrop>
  <LinksUpToDate>false</LinksUpToDate>
  <CharactersWithSpaces>6255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2020-03-02T08:54:00Z</dcterms:created>
  <dc:creator>心随缘1378886107</dc:creator>
  <cp:lastModifiedBy>王楠</cp:lastModifiedBy>
  <cp:lastPrinted>2026-03-23T06:02:00Z</cp:lastPrinted>
  <dcterms:modified xsi:type="dcterms:W3CDTF">2026-09-09T07:03:00Z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869C6A34EC77474D948F9AA11D94EE7E_13</vt:lpwstr>
  </property>
  <property fmtid="{D5CDD505-2E9C-101B-9397-08002B2CF9AE}" pid="4" name="KSOTemplateDocerSaveRecord">
    <vt:lpwstr>eyJoZGlkIjoiMzUxM2VjZDk1MGRjNTJiMmU3MjlkOTgzNGU3NmNhMmUiLCJ1c2VySWQiOiIyNjQ4NDMyMTQifQ==</vt:lpwstr>
  </property>
</Properties>
</file>