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48629">
      <w:pPr>
        <w:pStyle w:val="2"/>
        <w:adjustRightInd w:val="0"/>
        <w:snapToGrid w:val="0"/>
        <w:spacing w:after="0" w:line="520" w:lineRule="exact"/>
        <w:rPr>
          <w:rFonts w:hint="eastAsia" w:ascii="宋体" w:hAnsi="宋体" w:cs="宋体"/>
          <w:sz w:val="28"/>
          <w:szCs w:val="28"/>
        </w:rPr>
      </w:pPr>
      <w:bookmarkStart w:id="0" w:name="_GoBack"/>
      <w:r>
        <w:rPr>
          <w:rFonts w:hint="eastAsia" w:ascii="宋体" w:hAnsi="宋体" w:cs="宋体"/>
          <w:sz w:val="28"/>
          <w:szCs w:val="28"/>
        </w:rPr>
        <w:t>附件1、</w:t>
      </w:r>
    </w:p>
    <w:p w14:paraId="1928C944">
      <w:pPr>
        <w:pStyle w:val="2"/>
        <w:adjustRightInd w:val="0"/>
        <w:snapToGrid w:val="0"/>
        <w:spacing w:after="0" w:line="520" w:lineRule="exact"/>
        <w:rPr>
          <w:rFonts w:hint="eastAsia" w:ascii="宋体" w:hAnsi="宋体" w:cs="宋体"/>
          <w:sz w:val="28"/>
          <w:szCs w:val="28"/>
          <w:lang w:val="en-US" w:eastAsia="zh-CN"/>
        </w:rPr>
      </w:pPr>
    </w:p>
    <w:p w14:paraId="39F4C86C">
      <w:pPr>
        <w:jc w:val="center"/>
        <w:rPr>
          <w:rFonts w:hint="eastAsia" w:ascii="宋体" w:hAnsi="宋体"/>
          <w:b/>
          <w:bCs w:val="0"/>
          <w:sz w:val="36"/>
          <w:szCs w:val="36"/>
        </w:rPr>
      </w:pPr>
      <w:r>
        <w:rPr>
          <w:rFonts w:hint="eastAsia" w:ascii="宋体" w:hAnsi="宋体"/>
          <w:b/>
          <w:bCs w:val="0"/>
          <w:sz w:val="36"/>
          <w:szCs w:val="36"/>
        </w:rPr>
        <w:t>四川省骨科医院</w:t>
      </w:r>
    </w:p>
    <w:p w14:paraId="59EE9032">
      <w:pPr>
        <w:pStyle w:val="2"/>
        <w:adjustRightInd w:val="0"/>
        <w:snapToGrid w:val="0"/>
        <w:spacing w:after="0" w:line="520" w:lineRule="exact"/>
        <w:jc w:val="center"/>
        <w:rPr>
          <w:rFonts w:hint="eastAsia" w:ascii="宋体" w:hAnsi="宋体" w:eastAsia="宋体" w:cs="宋体"/>
          <w:b/>
          <w:bCs w:val="0"/>
          <w:sz w:val="28"/>
          <w:szCs w:val="28"/>
          <w:lang w:val="en-US" w:eastAsia="zh-CN"/>
        </w:rPr>
      </w:pPr>
      <w:r>
        <w:rPr>
          <w:rFonts w:hint="eastAsia" w:ascii="宋体" w:hAnsi="宋体"/>
          <w:b/>
          <w:bCs w:val="0"/>
          <w:sz w:val="36"/>
          <w:szCs w:val="36"/>
          <w:lang w:val="en-US" w:eastAsia="zh-CN"/>
        </w:rPr>
        <w:t>天府院区电梯降速改造采购</w:t>
      </w:r>
      <w:r>
        <w:rPr>
          <w:rFonts w:hint="eastAsia" w:ascii="宋体" w:hAnsi="宋体"/>
          <w:b/>
          <w:bCs w:val="0"/>
          <w:sz w:val="36"/>
          <w:szCs w:val="36"/>
        </w:rPr>
        <w:t>项目调研</w:t>
      </w:r>
      <w:r>
        <w:rPr>
          <w:rFonts w:hint="eastAsia" w:ascii="宋体" w:hAnsi="宋体"/>
          <w:b/>
          <w:bCs w:val="0"/>
          <w:sz w:val="36"/>
          <w:szCs w:val="36"/>
          <w:lang w:val="en-US" w:eastAsia="zh-CN"/>
        </w:rPr>
        <w:t>内容</w:t>
      </w:r>
    </w:p>
    <w:bookmarkEnd w:id="0"/>
    <w:p w14:paraId="06D2544F">
      <w:pPr>
        <w:pStyle w:val="2"/>
        <w:adjustRightInd w:val="0"/>
        <w:snapToGrid w:val="0"/>
        <w:spacing w:after="0" w:line="520" w:lineRule="exact"/>
        <w:rPr>
          <w:rFonts w:hint="eastAsia" w:ascii="宋体" w:hAnsi="宋体" w:cs="宋体"/>
          <w:sz w:val="28"/>
          <w:szCs w:val="28"/>
          <w:lang w:val="en-US" w:eastAsia="zh-CN"/>
        </w:rPr>
      </w:pPr>
    </w:p>
    <w:p w14:paraId="1E38A4F5">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2" w:firstLineChars="200"/>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一、项目概况：</w:t>
      </w:r>
    </w:p>
    <w:p w14:paraId="416C24F3">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本项目为我院天府院区裙楼门诊4部上海三菱KS-BF-‖型扶梯实施降速及待机模式改造，扶梯倾斜角35°、提升高度6m、名义宽度1000mm、主机功率7.5KW，均为室内使用型扶梯。需完成额定运行速度由0.5m/s调整为0.3m/s、变频低速待机模式改为停梯待机模式两项核心改造，同时保障改造后扶梯符合国家特种设备安全规范及原厂技术标准。</w:t>
      </w:r>
    </w:p>
    <w:p w14:paraId="53C9D27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2" w:firstLineChars="200"/>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二、技术及性能要求：</w:t>
      </w:r>
    </w:p>
    <w:p w14:paraId="3DFF0B1A">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2.1.速度调整要求：</w:t>
      </w:r>
    </w:p>
    <w:p w14:paraId="669272D0">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2.1.1、改造后扶梯额定运行速度稳定为0.3m/s,运行中速度偏差≤±0.015m/s，加速、减速速率不超过0.3m/s²，启停平稳无抖动、卡阻现象。</w:t>
      </w:r>
    </w:p>
    <w:p w14:paraId="4D95976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2.1.2、保留扶梯原有变频控制系统核心安全功能，与新调速系统形成双系统逻辑与保护，不改变原扶梯安全回路、制动系统的原厂设定。</w:t>
      </w:r>
    </w:p>
    <w:p w14:paraId="727542CE">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2.1.3、适配上海三菱KS-BF-‖型扶梯原厂机械结构，改造后梯级、扶手带运行同步,梳齿板与梯级间隙保持≤4mm,符合GB 16899-2011《自动扶梯和自动人行道的制造与安装规范》等有关规范要求。</w:t>
      </w:r>
    </w:p>
    <w:p w14:paraId="4021F98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2.2.待机模式改造要求：</w:t>
      </w:r>
    </w:p>
    <w:p w14:paraId="6E19B5DF">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2.2.1、拆除原低速待机控制程序，重新编写停梯待机控制逻辑，无人乘梯时扶梯完全停止运行，停梯状态下扶梯制动装置可靠锁止。</w:t>
      </w:r>
    </w:p>
    <w:p w14:paraId="2D68873E">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2.2.2、在扶梯上下出入口加装高灵敏度乘客检测装置（光电传感器），检测距离需满足：乘客距梳齿板≥1.5m时触发启动，扶梯能在乘客到达梳齿板前完成加速至0.3m/s额定速度。</w:t>
      </w:r>
    </w:p>
    <w:p w14:paraId="0279762B">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2.2.3、设定停梯延时功能：最后一名乘客离开扶梯后，延时≥30s（可现场调试调整）无新乘客检测信号时，扶梯平稳停梯；反向进入扶梯的乘客被检测后，扶梯启动并触发入口处声光提示。</w:t>
      </w:r>
    </w:p>
    <w:p w14:paraId="1F26C9B1">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2.2.4、停梯状态下扶梯入口处设置清晰的运行状态指示标识，明确显示扶梯“可使用/停梯” 及运行方向，符合国家特种设备节能改造强制标准。</w:t>
      </w:r>
    </w:p>
    <w:p w14:paraId="35F31EF1">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2.3.系统兼容性要求：</w:t>
      </w:r>
    </w:p>
    <w:p w14:paraId="64BA835D">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2.3.1、所有改造配件（变频器、PLC、传感器、接触器等）需与上海三菱KS-BF-‖型扶梯原厂控制系统兼容，优先采用原厂配套配件或同等品质的产品。</w:t>
      </w:r>
    </w:p>
    <w:p w14:paraId="7803E11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 xml:space="preserve"> 2.3.2、改造后新增控制柜体为可移动结构，适配原扶梯机房安装空间，具备良好的散热、接地防护功能，接地电阻≤4Ω；动力电缆与控制电缆分开敷设，间距≥100mm，采用阻燃型电缆。</w:t>
      </w:r>
    </w:p>
    <w:p w14:paraId="146D699F">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2" w:firstLineChars="200"/>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三、服务要求:</w:t>
      </w:r>
    </w:p>
    <w:p w14:paraId="4D21C9B8">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3.1、供应商须遵守《中华人民共和国特种设备安全法》《四川省电梯安全条例》等有关法律法规、行业规范的要求，为采购人本项目提供自动扶梯改造服务。</w:t>
      </w:r>
    </w:p>
    <w:p w14:paraId="5D581F3D">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3.2、供应商改造后的电梯除满足本项目采购需求外，还须符合GB 16899-2011《自动扶梯和自动人行道的制造与安装规范》、GB/T 7588.1-2020《电梯制造与安装安全规范 第1部分：乘客电梯与载货电梯》、GB/T 24803.1-2009《电梯安全要求 第1部分：电梯基本安全要求》等有关规范要求。</w:t>
      </w:r>
    </w:p>
    <w:p w14:paraId="0F34B255">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3.3、施工周期要求：单部扶梯改造施工（含调试）不超过24小时，4部扶梯总施工周期不超过4天；施工尽量安排在院区就医非高峰时段（如夜间、周末），减少对门诊通行的影响。</w:t>
      </w:r>
    </w:p>
    <w:p w14:paraId="48658462">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3.4、质保期：</w:t>
      </w:r>
    </w:p>
    <w:p w14:paraId="504A4FBA">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3.4.1、质保期：一年（以取得特种设备登记证登记的日期为准），质保期内非人为因素导致的改造故障，供应商需在2小时内响应，24小时内到场维修并解决问题，免费更换故障配件。</w:t>
      </w:r>
    </w:p>
    <w:p w14:paraId="77A9700A">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3.4.2、质保期内每3个月对扶梯改造部位进行一次上门巡检，包括传感器灵敏度、调速系统稳定性、制动装置性能等，留存巡检记录并提交采购人</w:t>
      </w:r>
    </w:p>
    <w:p w14:paraId="239BC766">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3.5、供应商在提供服务过程中需遵守采购人的规章制度，不得影响采购人的正常医疗秩序和工作秩序。</w:t>
      </w:r>
    </w:p>
    <w:p w14:paraId="2A7554BE">
      <w:pPr>
        <w:keepNext w:val="0"/>
        <w:keepLines w:val="0"/>
        <w:pageBreakBefore w:val="0"/>
        <w:widowControl w:val="0"/>
        <w:numPr>
          <w:ilvl w:val="0"/>
          <w:numId w:val="0"/>
        </w:numPr>
        <w:kinsoku/>
        <w:wordWrap w:val="0"/>
        <w:overflowPunct/>
        <w:topLinePunct/>
        <w:autoSpaceDE/>
        <w:autoSpaceDN/>
        <w:bidi w:val="0"/>
        <w:adjustRightInd w:val="0"/>
        <w:snapToGrid w:val="0"/>
        <w:spacing w:line="56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3.6、供应商须为采购人电梯运维人员提供的改造后操作、调试及日常维护培训，确保运维人员能独立完成基础的参数调整及故障排查。</w:t>
      </w:r>
    </w:p>
    <w:p w14:paraId="73A100ED">
      <w:pPr>
        <w:pStyle w:val="3"/>
        <w:keepNext w:val="0"/>
        <w:keepLines w:val="0"/>
        <w:pageBreakBefore w:val="0"/>
        <w:widowControl w:val="0"/>
        <w:kinsoku/>
        <w:wordWrap w:val="0"/>
        <w:overflowPunct/>
        <w:topLinePunct/>
        <w:autoSpaceDE/>
        <w:autoSpaceDN/>
        <w:bidi w:val="0"/>
        <w:adjustRightInd w:val="0"/>
        <w:snapToGrid w:val="0"/>
        <w:spacing w:line="560" w:lineRule="exact"/>
        <w:ind w:firstLine="560" w:firstLineChars="200"/>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3.7、供应商在提供服务过程中须严格遵守《中华人民共和国安全生产法》等有关法律法规，遵规作业，若因违规作业、或故意、或过失等行为造成自身、甲方或其他第三人的人身伤害（亡）或财产（或代管财产）损失均由乙方承担全部责任。</w:t>
      </w:r>
    </w:p>
    <w:p w14:paraId="58DA50C7">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562" w:firstLineChars="200"/>
        <w:jc w:val="both"/>
        <w:textAlignment w:val="auto"/>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四、验收标准：</w:t>
      </w:r>
    </w:p>
    <w:p w14:paraId="39F9F184">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4.1、改造完成后，扶梯额定速度、待机模式达到本要求核心技术标准，连续空载运行2小时无故障，满载运行1小时速度稳定、制动可靠。</w:t>
      </w:r>
    </w:p>
    <w:p w14:paraId="10A6EFF4">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4.2、供应商须提供完整的改造资料，包括：配件合格证、型式试验报告、施工记录、调试报告、控制系统修改说明、原厂技术确认文件等。</w:t>
      </w:r>
    </w:p>
    <w:p w14:paraId="1ED9C928">
      <w:pPr>
        <w:keepNext w:val="0"/>
        <w:keepLines w:val="0"/>
        <w:pageBreakBefore w:val="0"/>
        <w:widowControl w:val="0"/>
        <w:numPr>
          <w:ilvl w:val="0"/>
          <w:numId w:val="0"/>
        </w:numPr>
        <w:kinsoku/>
        <w:wordWrap w:val="0"/>
        <w:overflowPunct/>
        <w:topLinePunct/>
        <w:autoSpaceDE/>
        <w:autoSpaceDN/>
        <w:bidi w:val="0"/>
        <w:adjustRightInd w:val="0"/>
        <w:snapToGrid w:val="0"/>
        <w:spacing w:line="540" w:lineRule="exact"/>
        <w:ind w:firstLine="560" w:firstLineChars="200"/>
        <w:jc w:val="both"/>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4.3、采购人改造后自动扶梯取得特种设备使用登记证变更文件视为验收合格，验收合格后扶梯方可正式投入使用。</w:t>
      </w:r>
    </w:p>
    <w:p w14:paraId="1AEE6244">
      <w:pPr>
        <w:pStyle w:val="2"/>
        <w:keepNext w:val="0"/>
        <w:keepLines w:val="0"/>
        <w:pageBreakBefore w:val="0"/>
        <w:widowControl w:val="0"/>
        <w:numPr>
          <w:ilvl w:val="0"/>
          <w:numId w:val="0"/>
        </w:numPr>
        <w:kinsoku/>
        <w:wordWrap w:val="0"/>
        <w:overflowPunct/>
        <w:topLinePunct/>
        <w:autoSpaceDE/>
        <w:autoSpaceDN/>
        <w:bidi w:val="0"/>
        <w:adjustRightInd w:val="0"/>
        <w:snapToGrid w:val="0"/>
        <w:spacing w:after="0" w:afterLines="0" w:line="560" w:lineRule="exact"/>
        <w:ind w:left="0"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rPr>
        <w:t>五</w:t>
      </w:r>
      <w:r>
        <w:rPr>
          <w:rFonts w:hint="eastAsia" w:ascii="宋体" w:hAnsi="宋体" w:eastAsia="宋体" w:cs="宋体"/>
          <w:b/>
          <w:bCs/>
          <w:sz w:val="28"/>
          <w:szCs w:val="28"/>
          <w:lang w:val="en-US" w:eastAsia="zh-CN"/>
        </w:rPr>
        <w:t>、报价表</w:t>
      </w:r>
    </w:p>
    <w:tbl>
      <w:tblPr>
        <w:tblStyle w:val="4"/>
        <w:tblpPr w:leftFromText="181" w:rightFromText="181" w:vertAnchor="text" w:horzAnchor="page" w:tblpXSpec="center" w:tblpY="114"/>
        <w:tblOverlap w:val="never"/>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90"/>
        <w:gridCol w:w="735"/>
        <w:gridCol w:w="1185"/>
        <w:gridCol w:w="495"/>
        <w:gridCol w:w="420"/>
        <w:gridCol w:w="1709"/>
        <w:gridCol w:w="1575"/>
      </w:tblGrid>
      <w:tr w14:paraId="2FEA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16" w:type="dxa"/>
            <w:noWrap w:val="0"/>
            <w:vAlign w:val="center"/>
          </w:tcPr>
          <w:p w14:paraId="798D4725">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电梯区域名称</w:t>
            </w:r>
          </w:p>
        </w:tc>
        <w:tc>
          <w:tcPr>
            <w:tcW w:w="1290" w:type="dxa"/>
            <w:noWrap w:val="0"/>
            <w:vAlign w:val="center"/>
          </w:tcPr>
          <w:p w14:paraId="23EEF291">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梯号</w:t>
            </w:r>
          </w:p>
        </w:tc>
        <w:tc>
          <w:tcPr>
            <w:tcW w:w="735" w:type="dxa"/>
            <w:noWrap w:val="0"/>
            <w:vAlign w:val="center"/>
          </w:tcPr>
          <w:p w14:paraId="3875E2F5">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品牌</w:t>
            </w:r>
          </w:p>
        </w:tc>
        <w:tc>
          <w:tcPr>
            <w:tcW w:w="1185" w:type="dxa"/>
            <w:noWrap w:val="0"/>
            <w:vAlign w:val="center"/>
          </w:tcPr>
          <w:p w14:paraId="7EDF5BCE">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规格型号</w:t>
            </w:r>
          </w:p>
        </w:tc>
        <w:tc>
          <w:tcPr>
            <w:tcW w:w="495" w:type="dxa"/>
            <w:noWrap w:val="0"/>
            <w:vAlign w:val="center"/>
          </w:tcPr>
          <w:p w14:paraId="03AC2114">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420" w:type="dxa"/>
            <w:noWrap w:val="0"/>
            <w:vAlign w:val="center"/>
          </w:tcPr>
          <w:p w14:paraId="152DB05B">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数量</w:t>
            </w:r>
          </w:p>
        </w:tc>
        <w:tc>
          <w:tcPr>
            <w:tcW w:w="1709" w:type="dxa"/>
            <w:noWrap w:val="0"/>
            <w:vAlign w:val="center"/>
          </w:tcPr>
          <w:p w14:paraId="018CD881">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调研单价报价</w:t>
            </w:r>
          </w:p>
          <w:p w14:paraId="7EE09E5A">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（元/台）</w:t>
            </w:r>
          </w:p>
        </w:tc>
        <w:tc>
          <w:tcPr>
            <w:tcW w:w="1575" w:type="dxa"/>
            <w:noWrap w:val="0"/>
            <w:vAlign w:val="center"/>
          </w:tcPr>
          <w:p w14:paraId="0EDA22BB">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合计（元）</w:t>
            </w:r>
          </w:p>
        </w:tc>
      </w:tr>
      <w:tr w14:paraId="5DB6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16" w:type="dxa"/>
            <w:noWrap w:val="0"/>
            <w:vAlign w:val="center"/>
          </w:tcPr>
          <w:p w14:paraId="25552A76">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裙楼门诊自动扶梯</w:t>
            </w:r>
          </w:p>
        </w:tc>
        <w:tc>
          <w:tcPr>
            <w:tcW w:w="1290" w:type="dxa"/>
            <w:noWrap w:val="0"/>
            <w:vAlign w:val="center"/>
          </w:tcPr>
          <w:p w14:paraId="336A47B7">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17#、18#、19#、20#</w:t>
            </w:r>
          </w:p>
        </w:tc>
        <w:tc>
          <w:tcPr>
            <w:tcW w:w="735" w:type="dxa"/>
            <w:noWrap w:val="0"/>
            <w:vAlign w:val="center"/>
          </w:tcPr>
          <w:p w14:paraId="3F3740FF">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上海三菱</w:t>
            </w:r>
          </w:p>
        </w:tc>
        <w:tc>
          <w:tcPr>
            <w:tcW w:w="1185" w:type="dxa"/>
            <w:noWrap w:val="0"/>
            <w:vAlign w:val="center"/>
          </w:tcPr>
          <w:p w14:paraId="6B6ACA6D">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KS-BF-‖</w:t>
            </w:r>
          </w:p>
        </w:tc>
        <w:tc>
          <w:tcPr>
            <w:tcW w:w="495" w:type="dxa"/>
            <w:noWrap w:val="0"/>
            <w:vAlign w:val="center"/>
          </w:tcPr>
          <w:p w14:paraId="5EDB17B6">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420" w:type="dxa"/>
            <w:noWrap w:val="0"/>
            <w:vAlign w:val="center"/>
          </w:tcPr>
          <w:p w14:paraId="14FFA228">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709" w:type="dxa"/>
            <w:noWrap w:val="0"/>
            <w:vAlign w:val="center"/>
          </w:tcPr>
          <w:p w14:paraId="18CD8DEB">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575" w:type="dxa"/>
            <w:noWrap w:val="0"/>
            <w:vAlign w:val="center"/>
          </w:tcPr>
          <w:p w14:paraId="62BA834E">
            <w:pPr>
              <w:keepNext w:val="0"/>
              <w:keepLines w:val="0"/>
              <w:pageBreakBefore w:val="0"/>
              <w:widowControl/>
              <w:suppressLineNumbers w:val="0"/>
              <w:wordWrap/>
              <w:overflowPunct/>
              <w:topLinePunct w:val="0"/>
              <w:bidi w:val="0"/>
              <w:adjustRightInd w:val="0"/>
              <w:snapToGrid w:val="0"/>
              <w:spacing w:line="320" w:lineRule="exact"/>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bl>
    <w:p w14:paraId="3954D037">
      <w:pPr>
        <w:keepNext w:val="0"/>
        <w:keepLines w:val="0"/>
        <w:pageBreakBefore w:val="0"/>
        <w:widowControl w:val="0"/>
        <w:kinsoku/>
        <w:wordWrap w:val="0"/>
        <w:overflowPunct/>
        <w:topLinePunct/>
        <w:autoSpaceDE/>
        <w:autoSpaceDN/>
        <w:bidi w:val="0"/>
        <w:adjustRightInd/>
        <w:snapToGrid/>
        <w:spacing w:line="440" w:lineRule="exact"/>
        <w:ind w:firstLine="480" w:firstLineChars="200"/>
        <w:textAlignment w:val="auto"/>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本次调研所报单价为全费用综合单价，已包含降速改造项目全部相关费用，具体涵盖：降速改造主材及辅材辅料费、程序修改费、包装费、运输费、装卸搬运费、施工费、人工费、设备安装调试费、法定检验检测费、培训费、项目管理费、各类风险费用、合理利润、全额税金，以及验收合格交付使用前的全部配套费用、本项目质保期内免费保修服务费与备用物件费等所有相关费用。采购人按该综合单价结算，无需另行支付本项目任何其他费用。</w:t>
      </w:r>
    </w:p>
    <w:p w14:paraId="0AEECF76">
      <w:pPr>
        <w:rPr>
          <w:rFonts w:hint="eastAsia" w:ascii="仿宋" w:hAnsi="仿宋" w:eastAsia="仿宋" w:cs="仿宋"/>
          <w:sz w:val="32"/>
          <w:szCs w:val="32"/>
        </w:rPr>
      </w:pPr>
    </w:p>
    <w:p w14:paraId="52FC11DF">
      <w:pPr>
        <w:rPr>
          <w:rFonts w:hint="eastAsia" w:ascii="宋体" w:hAnsi="宋体" w:eastAsia="宋体" w:cs="宋体"/>
          <w:sz w:val="28"/>
          <w:szCs w:val="28"/>
        </w:rPr>
      </w:pPr>
      <w:r>
        <w:rPr>
          <w:rFonts w:hint="eastAsia" w:ascii="宋体" w:hAnsi="宋体" w:eastAsia="宋体" w:cs="宋体"/>
          <w:sz w:val="28"/>
          <w:szCs w:val="28"/>
        </w:rPr>
        <w:t>（此报价有效期    天。）</w:t>
      </w:r>
    </w:p>
    <w:p w14:paraId="655A7F15">
      <w:pPr>
        <w:rPr>
          <w:rFonts w:hint="eastAsia" w:ascii="宋体" w:hAnsi="宋体" w:eastAsia="宋体" w:cs="宋体"/>
          <w:sz w:val="28"/>
          <w:szCs w:val="28"/>
        </w:rPr>
      </w:pPr>
      <w:r>
        <w:rPr>
          <w:rFonts w:hint="eastAsia" w:ascii="宋体" w:hAnsi="宋体" w:eastAsia="宋体" w:cs="宋体"/>
          <w:sz w:val="28"/>
          <w:szCs w:val="28"/>
        </w:rPr>
        <w:t>报价单位（盖公章）：</w:t>
      </w:r>
    </w:p>
    <w:p w14:paraId="53171D43">
      <w:pPr>
        <w:rPr>
          <w:rFonts w:hint="eastAsia" w:ascii="宋体" w:hAnsi="宋体" w:eastAsia="宋体" w:cs="宋体"/>
          <w:sz w:val="28"/>
          <w:szCs w:val="28"/>
        </w:rPr>
      </w:pPr>
      <w:r>
        <w:rPr>
          <w:rFonts w:hint="eastAsia" w:ascii="宋体" w:hAnsi="宋体" w:eastAsia="宋体" w:cs="宋体"/>
          <w:sz w:val="28"/>
          <w:szCs w:val="28"/>
        </w:rPr>
        <w:t>联 系 人：</w:t>
      </w:r>
    </w:p>
    <w:p w14:paraId="7FD09338">
      <w:pPr>
        <w:rPr>
          <w:rFonts w:hint="eastAsia" w:ascii="宋体" w:hAnsi="宋体" w:eastAsia="宋体" w:cs="宋体"/>
          <w:sz w:val="28"/>
          <w:szCs w:val="28"/>
        </w:rPr>
      </w:pPr>
      <w:r>
        <w:rPr>
          <w:rFonts w:hint="eastAsia" w:ascii="宋体" w:hAnsi="宋体" w:eastAsia="宋体" w:cs="宋体"/>
          <w:sz w:val="28"/>
          <w:szCs w:val="28"/>
        </w:rPr>
        <w:t>联系电话：</w:t>
      </w:r>
    </w:p>
    <w:p w14:paraId="33DC92E9">
      <w:pPr>
        <w:rPr>
          <w:rFonts w:hint="eastAsia" w:ascii="宋体" w:hAnsi="宋体" w:eastAsia="宋体" w:cs="宋体"/>
          <w:sz w:val="28"/>
          <w:szCs w:val="28"/>
        </w:rPr>
      </w:pPr>
      <w:r>
        <w:rPr>
          <w:rFonts w:hint="eastAsia" w:ascii="宋体" w:hAnsi="宋体" w:eastAsia="宋体" w:cs="宋体"/>
          <w:sz w:val="28"/>
          <w:szCs w:val="28"/>
        </w:rPr>
        <w:t>报价日期：</w:t>
      </w:r>
    </w:p>
    <w:p w14:paraId="5731E3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A1AA6"/>
    <w:rsid w:val="553A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kern w:val="2"/>
      <w:sz w:val="21"/>
      <w:szCs w:val="24"/>
    </w:rPr>
  </w:style>
  <w:style w:type="paragraph" w:styleId="3">
    <w:name w:val="Plain Text"/>
    <w:basedOn w:val="1"/>
    <w:qFormat/>
    <w:uiPriority w:val="0"/>
    <w:pPr>
      <w:autoSpaceDE w:val="0"/>
      <w:autoSpaceDN w:val="0"/>
      <w:adjustRightInd w:val="0"/>
    </w:pPr>
    <w:rPr>
      <w:rFonts w:ascii="宋体" w:hAnsi="Tms Rm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2026-04-24T07:13:00Z</dcterms:created>
  <dc:creator>RUIFOX</dc:creator>
  <cp:lastModifiedBy>RUIFOX</cp:lastModifiedBy>
  <dcterms:modified xsi:type="dcterms:W3CDTF">2026-04-24T07:14:15Z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0B20439B41994B6C82855DCD9B03AA3D_11</vt:lpwstr>
  </property>
  <property fmtid="{D5CDD505-2E9C-101B-9397-08002B2CF9AE}" pid="4" name="KSOTemplateDocerSaveRecord">
    <vt:lpwstr>eyJoZGlkIjoiMzk1YzFlOTRhNzdhNDczMTNjMmE1MDI0YWZhNDQxZDkiLCJ1c2VySWQiOiIxMTY5MjIwMTYwIn0=</vt:lpwstr>
  </property>
</Properties>
</file>