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118B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bookmarkStart w:id="19" w:name="_GoBack"/>
      <w:bookmarkEnd w:id="19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附件1：</w:t>
      </w:r>
    </w:p>
    <w:p w14:paraId="33D9C93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服务要求</w:t>
      </w:r>
    </w:p>
    <w:p w14:paraId="27C5FC4E">
      <w:pPr>
        <w:pStyle w:val="2"/>
        <w:pageBreakBefore w:val="0"/>
        <w:widowControl w:val="0"/>
        <w:numPr>
          <w:ilvl w:val="0"/>
          <w:numId w:val="2"/>
        </w:numPr>
        <w:tabs>
          <w:tab w:val="left" w:pos="142"/>
          <w:tab w:val="clear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2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Toc464642423"/>
      <w:bookmarkStart w:id="1" w:name="_Toc33263698"/>
      <w:bookmarkStart w:id="2" w:name="_Toc509213851"/>
      <w:bookmarkStart w:id="3" w:name="_Toc17565057"/>
      <w:bookmarkStart w:id="4" w:name="_Toc209504713"/>
      <w:bookmarkStart w:id="5" w:name="_Toc464638695"/>
      <w:bookmarkStart w:id="6" w:name="_Toc104799626"/>
      <w:bookmarkStart w:id="7" w:name="_Toc265507347"/>
      <w:bookmarkStart w:id="8" w:name="_Toc33244149"/>
      <w:bookmarkStart w:id="9" w:name="_Toc464622616"/>
      <w:bookmarkStart w:id="10" w:name="_Toc465045799"/>
      <w:bookmarkStart w:id="11" w:name="_Toc465045179"/>
      <w:bookmarkStart w:id="12" w:name="_Toc450149343"/>
      <w:bookmarkStart w:id="13" w:name="_Toc265072259"/>
      <w:bookmarkStart w:id="14" w:name="_Toc265503927"/>
      <w:bookmarkStart w:id="15" w:name="_Toc142903909"/>
      <w:bookmarkStart w:id="16" w:name="_Toc17606265"/>
      <w:bookmarkStart w:id="17" w:name="_Toc14611403"/>
      <w:bookmarkStart w:id="18" w:name="_Toc258967324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技术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支持保障</w:t>
      </w:r>
      <w:bookmarkEnd w:id="17"/>
      <w:bookmarkEnd w:id="18"/>
    </w:p>
    <w:p w14:paraId="1AFC6407">
      <w:pPr>
        <w:pStyle w:val="26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编制定期系统维护服务方案；</w:t>
      </w:r>
    </w:p>
    <w:p w14:paraId="7FD2A7C8">
      <w:pPr>
        <w:pStyle w:val="26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指派专门的服务人员对系统依照有关方案进行维护；</w:t>
      </w:r>
    </w:p>
    <w:p w14:paraId="12D9EF62">
      <w:pPr>
        <w:pStyle w:val="26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技术专家不定时支持，以保证服务质量；</w:t>
      </w:r>
    </w:p>
    <w:p w14:paraId="053C697E">
      <w:pPr>
        <w:pStyle w:val="26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故障修复服务(含远程技术支持、现场技术支持)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A2B2F6C">
      <w:pPr>
        <w:pStyle w:val="26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系统巡检服务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38B67A2F">
      <w:pPr>
        <w:pStyle w:val="26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重要事件保障服务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3B89B3F4">
      <w:pPr>
        <w:pStyle w:val="26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应急恢复方案设计与预演服务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0013B367">
      <w:pPr>
        <w:pStyle w:val="26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辅助故障定位服务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E4E0C24">
      <w:pPr>
        <w:pStyle w:val="26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提供巡检服务，保证每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至少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次巡检。保障系统的稳定有效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运行，减少系统发生故障的概率，保障设备稳定、高效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运行。</w:t>
      </w:r>
    </w:p>
    <w:p w14:paraId="6A4C0EC8">
      <w:pPr>
        <w:pStyle w:val="2"/>
        <w:pageBreakBefore w:val="0"/>
        <w:widowControl w:val="0"/>
        <w:numPr>
          <w:ilvl w:val="0"/>
          <w:numId w:val="2"/>
        </w:numPr>
        <w:tabs>
          <w:tab w:val="left" w:pos="142"/>
          <w:tab w:val="clear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2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响应时间</w:t>
      </w:r>
    </w:p>
    <w:p w14:paraId="608DBDC2">
      <w:pPr>
        <w:pStyle w:val="26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电话、电子邮件或者传真方式的响应时间：不超过60分钟；</w:t>
      </w:r>
    </w:p>
    <w:p w14:paraId="45662D67">
      <w:pPr>
        <w:pStyle w:val="26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轻微故障：不超过24小时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 w14:paraId="4E2345B5">
      <w:pPr>
        <w:pStyle w:val="26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一般故障：不超过4小时</w:t>
      </w:r>
    </w:p>
    <w:p w14:paraId="74A36FF4">
      <w:pPr>
        <w:pStyle w:val="26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严重故障：不超过2小时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 w14:paraId="6E5B44A4">
      <w:pPr>
        <w:pStyle w:val="26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网络远程维护的响应时间：不超过30分钟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56857F1B">
      <w:pPr>
        <w:pStyle w:val="26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一级故障(严重故障)指系统在运行中出现系统瘫痪或服务中断，导致系统或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其他子系统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的基本功能不能实现或全面退化的故障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；二级故障(一般故障)指系统在运行中出现的直接影响业务、并导致系统性能或业务部分退化的故障；三级故障(轻微故障)指系统在运行中出现的其他的故障。</w:t>
      </w:r>
    </w:p>
    <w:p w14:paraId="669DE13A">
      <w:pPr>
        <w:pStyle w:val="2"/>
        <w:pageBreakBefore w:val="0"/>
        <w:widowControl w:val="0"/>
        <w:numPr>
          <w:ilvl w:val="0"/>
          <w:numId w:val="2"/>
        </w:numPr>
        <w:tabs>
          <w:tab w:val="left" w:pos="142"/>
          <w:tab w:val="clear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2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重要事件保障服务</w:t>
      </w:r>
    </w:p>
    <w:p w14:paraId="0E148226"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在汛期、重大节假日、国家军事、政治活动期间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其他甲方要求的事件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重要事件中提供保障服务预案，派人定时巡检，提供24小时服务，发生紧急情况保证1小时内到达现场,2个小时内解决问题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7F97D2B5">
      <w:pPr>
        <w:pStyle w:val="26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58F2CCB9">
      <w:pPr>
        <w:pStyle w:val="2"/>
        <w:pageBreakBefore w:val="0"/>
        <w:numPr>
          <w:ilvl w:val="2"/>
          <w:numId w:val="0"/>
        </w:numPr>
        <w:tabs>
          <w:tab w:val="left" w:pos="142"/>
          <w:tab w:val="clear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br w:type="page"/>
      </w:r>
    </w:p>
    <w:p w14:paraId="5464B24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附件2：</w:t>
      </w:r>
    </w:p>
    <w:p w14:paraId="373B7B3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意见反馈表</w:t>
      </w:r>
    </w:p>
    <w:p w14:paraId="46D946AB">
      <w:pPr>
        <w:tabs>
          <w:tab w:val="left" w:pos="6066"/>
        </w:tabs>
        <w:bidi w:val="0"/>
        <w:jc w:val="left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ab/>
      </w:r>
    </w:p>
    <w:tbl>
      <w:tblPr>
        <w:tblStyle w:val="10"/>
        <w:tblW w:w="9588" w:type="dxa"/>
        <w:tblInd w:w="-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8"/>
      </w:tblGrid>
      <w:tr w14:paraId="3AEEA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9588" w:type="dxa"/>
            <w:noWrap w:val="0"/>
            <w:vAlign w:val="top"/>
          </w:tcPr>
          <w:p w14:paraId="255E81A0">
            <w:pPr>
              <w:pStyle w:val="3"/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1、本项目“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调研内容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”表达是否清晰明了？内容是否完善？若有不清楚或不完善，请补充。</w:t>
            </w:r>
          </w:p>
        </w:tc>
      </w:tr>
      <w:tr w14:paraId="731DC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3" w:hRule="atLeast"/>
        </w:trPr>
        <w:tc>
          <w:tcPr>
            <w:tcW w:w="9588" w:type="dxa"/>
            <w:noWrap w:val="0"/>
            <w:vAlign w:val="top"/>
          </w:tcPr>
          <w:p w14:paraId="1BEBFCA5">
            <w:pPr>
              <w:pStyle w:val="3"/>
              <w:ind w:firstLine="640" w:firstLineChars="200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2、请补充本项目适用标准。</w:t>
            </w:r>
          </w:p>
        </w:tc>
      </w:tr>
      <w:tr w14:paraId="091FB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9588" w:type="dxa"/>
            <w:noWrap w:val="0"/>
            <w:vAlign w:val="top"/>
          </w:tcPr>
          <w:p w14:paraId="50809650"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3、拟为本项目配备的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人员及资质</w:t>
            </w:r>
          </w:p>
          <w:p w14:paraId="619A846C">
            <w:pPr>
              <w:pStyle w:val="4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tbl>
            <w:tblPr>
              <w:tblStyle w:val="10"/>
              <w:tblW w:w="89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4"/>
              <w:gridCol w:w="2082"/>
              <w:gridCol w:w="5702"/>
            </w:tblGrid>
            <w:tr w14:paraId="4FB3626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8" w:hRule="atLeast"/>
              </w:trPr>
              <w:tc>
                <w:tcPr>
                  <w:tcW w:w="1134" w:type="dxa"/>
                </w:tcPr>
                <w:p w14:paraId="6C35BA7E">
                  <w:pPr>
                    <w:pStyle w:val="3"/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082" w:type="dxa"/>
                </w:tcPr>
                <w:p w14:paraId="76D9B6FD">
                  <w:pPr>
                    <w:pStyle w:val="3"/>
                    <w:jc w:val="center"/>
                    <w:rPr>
                      <w:rFonts w:hint="default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vertAlign w:val="baseline"/>
                      <w:lang w:val="en-US" w:eastAsia="zh-CN"/>
                    </w:rPr>
                    <w:t>岗位</w:t>
                  </w:r>
                </w:p>
              </w:tc>
              <w:tc>
                <w:tcPr>
                  <w:tcW w:w="5702" w:type="dxa"/>
                </w:tcPr>
                <w:p w14:paraId="7E4D95FF">
                  <w:pPr>
                    <w:pStyle w:val="3"/>
                    <w:jc w:val="center"/>
                    <w:rPr>
                      <w:rFonts w:hint="default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vertAlign w:val="baseline"/>
                      <w:lang w:val="en-US" w:eastAsia="zh-CN"/>
                    </w:rPr>
                    <w:t>人员证书</w:t>
                  </w:r>
                </w:p>
              </w:tc>
            </w:tr>
            <w:tr w14:paraId="538E8DF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3" w:hRule="atLeast"/>
              </w:trPr>
              <w:tc>
                <w:tcPr>
                  <w:tcW w:w="1134" w:type="dxa"/>
                </w:tcPr>
                <w:p w14:paraId="3728E361">
                  <w:pPr>
                    <w:pStyle w:val="3"/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vertAlign w:val="baseline"/>
                      <w:lang w:val="en-US" w:eastAsia="zh-CN"/>
                    </w:rPr>
                    <w:t>举例</w:t>
                  </w:r>
                </w:p>
              </w:tc>
              <w:tc>
                <w:tcPr>
                  <w:tcW w:w="2082" w:type="dxa"/>
                  <w:vAlign w:val="top"/>
                </w:tcPr>
                <w:p w14:paraId="7FED6B3E">
                  <w:pPr>
                    <w:pStyle w:val="3"/>
                    <w:jc w:val="center"/>
                    <w:rPr>
                      <w:rFonts w:hint="default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vertAlign w:val="baseline"/>
                      <w:lang w:val="en-US" w:eastAsia="zh-CN"/>
                    </w:rPr>
                    <w:t>电工作业人员</w:t>
                  </w:r>
                </w:p>
              </w:tc>
              <w:tc>
                <w:tcPr>
                  <w:tcW w:w="5702" w:type="dxa"/>
                  <w:vAlign w:val="top"/>
                </w:tcPr>
                <w:p w14:paraId="529B92D7">
                  <w:pPr>
                    <w:pStyle w:val="3"/>
                    <w:jc w:val="center"/>
                    <w:rPr>
                      <w:rFonts w:hint="default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vertAlign w:val="baseline"/>
                      <w:lang w:val="en-US" w:eastAsia="zh-CN"/>
                    </w:rPr>
                    <w:t>中华人民共和国特种作业操作证的低压电工作业证</w:t>
                  </w:r>
                </w:p>
              </w:tc>
            </w:tr>
            <w:tr w14:paraId="3D18972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8" w:hRule="atLeast"/>
              </w:trPr>
              <w:tc>
                <w:tcPr>
                  <w:tcW w:w="1134" w:type="dxa"/>
                </w:tcPr>
                <w:p w14:paraId="58738FD6">
                  <w:pPr>
                    <w:pStyle w:val="4"/>
                    <w:numPr>
                      <w:ilvl w:val="0"/>
                      <w:numId w:val="0"/>
                    </w:numPr>
                    <w:jc w:val="center"/>
                    <w:rPr>
                      <w:rFonts w:hint="default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vertAlign w:val="baseline"/>
                      <w:lang w:val="en-US" w:eastAsia="zh-CN"/>
                    </w:rPr>
                    <w:t>举例</w:t>
                  </w:r>
                </w:p>
              </w:tc>
              <w:tc>
                <w:tcPr>
                  <w:tcW w:w="2082" w:type="dxa"/>
                  <w:vAlign w:val="top"/>
                </w:tcPr>
                <w:p w14:paraId="19EB44A9">
                  <w:pPr>
                    <w:pStyle w:val="3"/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vertAlign w:val="baseline"/>
                      <w:lang w:val="en-US" w:eastAsia="zh-CN"/>
                    </w:rPr>
                    <w:t>机电安装工程工程师</w:t>
                  </w:r>
                </w:p>
              </w:tc>
              <w:tc>
                <w:tcPr>
                  <w:tcW w:w="5702" w:type="dxa"/>
                  <w:vAlign w:val="top"/>
                </w:tcPr>
                <w:p w14:paraId="08430065">
                  <w:pPr>
                    <w:pStyle w:val="3"/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vertAlign w:val="baseline"/>
                      <w:lang w:val="en-US" w:eastAsia="zh-CN"/>
                    </w:rPr>
                    <w:t>具备有效期内的国家行政主管部门颁发的中级及以上工程师职称（机电安装工程）</w:t>
                  </w:r>
                </w:p>
              </w:tc>
            </w:tr>
            <w:tr w14:paraId="1D5B968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</w:trPr>
              <w:tc>
                <w:tcPr>
                  <w:tcW w:w="1134" w:type="dxa"/>
                </w:tcPr>
                <w:p w14:paraId="3510B327">
                  <w:pPr>
                    <w:pStyle w:val="4"/>
                    <w:numPr>
                      <w:ilvl w:val="0"/>
                      <w:numId w:val="0"/>
                    </w:numPr>
                    <w:jc w:val="center"/>
                    <w:rPr>
                      <w:rFonts w:hint="default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vertAlign w:val="baseline"/>
                      <w:lang w:val="en-US" w:eastAsia="zh-CN"/>
                    </w:rPr>
                    <w:t>举例</w:t>
                  </w:r>
                </w:p>
              </w:tc>
              <w:tc>
                <w:tcPr>
                  <w:tcW w:w="2082" w:type="dxa"/>
                </w:tcPr>
                <w:p w14:paraId="21F3051E">
                  <w:pPr>
                    <w:pStyle w:val="3"/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vertAlign w:val="baseline"/>
                      <w:lang w:val="en-US" w:eastAsia="zh-CN"/>
                    </w:rPr>
                    <w:t>弱电系统工程师</w:t>
                  </w:r>
                </w:p>
              </w:tc>
              <w:tc>
                <w:tcPr>
                  <w:tcW w:w="5702" w:type="dxa"/>
                </w:tcPr>
                <w:p w14:paraId="1CD7EA17">
                  <w:pPr>
                    <w:pStyle w:val="3"/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vertAlign w:val="baseline"/>
                      <w:lang w:val="en-US" w:eastAsia="zh-CN"/>
                    </w:rPr>
                    <w:t>具备国家行政主管部门颁发的中级及以上工程师职称（弱电系统工程师）</w:t>
                  </w:r>
                </w:p>
              </w:tc>
            </w:tr>
            <w:tr w14:paraId="14997DF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</w:trPr>
              <w:tc>
                <w:tcPr>
                  <w:tcW w:w="1134" w:type="dxa"/>
                </w:tcPr>
                <w:p w14:paraId="56A00A00">
                  <w:pPr>
                    <w:pStyle w:val="4"/>
                    <w:numPr>
                      <w:ilvl w:val="0"/>
                      <w:numId w:val="0"/>
                    </w:numPr>
                    <w:jc w:val="center"/>
                    <w:rPr>
                      <w:rFonts w:hint="default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2082" w:type="dxa"/>
                </w:tcPr>
                <w:p w14:paraId="49B60EC9">
                  <w:pPr>
                    <w:pStyle w:val="4"/>
                    <w:numPr>
                      <w:ilvl w:val="0"/>
                      <w:numId w:val="0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5702" w:type="dxa"/>
                </w:tcPr>
                <w:p w14:paraId="7F3E0CAC">
                  <w:pPr>
                    <w:pStyle w:val="4"/>
                    <w:numPr>
                      <w:ilvl w:val="0"/>
                      <w:numId w:val="0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 w14:paraId="3BECD3C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</w:trPr>
              <w:tc>
                <w:tcPr>
                  <w:tcW w:w="1134" w:type="dxa"/>
                </w:tcPr>
                <w:p w14:paraId="1320475F">
                  <w:pPr>
                    <w:pStyle w:val="4"/>
                    <w:numPr>
                      <w:ilvl w:val="0"/>
                      <w:numId w:val="0"/>
                    </w:numPr>
                    <w:jc w:val="center"/>
                    <w:rPr>
                      <w:rFonts w:hint="default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2082" w:type="dxa"/>
                </w:tcPr>
                <w:p w14:paraId="2A322722">
                  <w:pPr>
                    <w:pStyle w:val="4"/>
                    <w:numPr>
                      <w:ilvl w:val="0"/>
                      <w:numId w:val="0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5702" w:type="dxa"/>
                </w:tcPr>
                <w:p w14:paraId="66BE2FDC">
                  <w:pPr>
                    <w:pStyle w:val="4"/>
                    <w:numPr>
                      <w:ilvl w:val="0"/>
                      <w:numId w:val="0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 w14:paraId="5422F0C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9" w:hRule="atLeast"/>
              </w:trPr>
              <w:tc>
                <w:tcPr>
                  <w:tcW w:w="1134" w:type="dxa"/>
                </w:tcPr>
                <w:p w14:paraId="040410CD">
                  <w:pPr>
                    <w:pStyle w:val="4"/>
                    <w:numPr>
                      <w:ilvl w:val="0"/>
                      <w:numId w:val="0"/>
                    </w:numPr>
                    <w:jc w:val="center"/>
                    <w:rPr>
                      <w:rFonts w:hint="default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  <w:t>...</w:t>
                  </w:r>
                </w:p>
              </w:tc>
              <w:tc>
                <w:tcPr>
                  <w:tcW w:w="2082" w:type="dxa"/>
                </w:tcPr>
                <w:p w14:paraId="51C03508">
                  <w:pPr>
                    <w:pStyle w:val="4"/>
                    <w:numPr>
                      <w:ilvl w:val="0"/>
                      <w:numId w:val="0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5702" w:type="dxa"/>
                </w:tcPr>
                <w:p w14:paraId="4CE2055D">
                  <w:pPr>
                    <w:pStyle w:val="4"/>
                    <w:numPr>
                      <w:ilvl w:val="0"/>
                      <w:numId w:val="0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37EB07C8">
            <w:pPr>
              <w:pStyle w:val="3"/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58E38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1" w:hRule="atLeast"/>
        </w:trPr>
        <w:tc>
          <w:tcPr>
            <w:tcW w:w="9588" w:type="dxa"/>
            <w:noWrap w:val="0"/>
            <w:vAlign w:val="top"/>
          </w:tcPr>
          <w:p w14:paraId="657E7B9B">
            <w:pPr>
              <w:pStyle w:val="3"/>
              <w:numPr>
                <w:ilvl w:val="0"/>
                <w:numId w:val="0"/>
              </w:numPr>
              <w:ind w:leftChars="0" w:firstLine="64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4、您对本项目有什么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建议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？（可附页）</w:t>
            </w:r>
          </w:p>
        </w:tc>
      </w:tr>
    </w:tbl>
    <w:p w14:paraId="439E7EDB">
      <w:pPr>
        <w:rPr>
          <w:rFonts w:hint="default"/>
          <w:lang w:val="en-US" w:eastAsia="zh-CN"/>
        </w:rPr>
      </w:pPr>
    </w:p>
    <w:p w14:paraId="17CAA765">
      <w:pPr>
        <w:rPr>
          <w:rFonts w:hint="default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p w14:paraId="7A1B35E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附件3：</w:t>
      </w:r>
    </w:p>
    <w:p w14:paraId="3A2F733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2022年1月1日至今类似项目业绩统计表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615"/>
        <w:gridCol w:w="1466"/>
        <w:gridCol w:w="1626"/>
        <w:gridCol w:w="1845"/>
        <w:gridCol w:w="1042"/>
      </w:tblGrid>
      <w:tr w14:paraId="24141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4" w:type="dxa"/>
            <w:noWrap w:val="0"/>
            <w:vAlign w:val="top"/>
          </w:tcPr>
          <w:p w14:paraId="5C8E410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15" w:type="dxa"/>
            <w:noWrap w:val="0"/>
            <w:vAlign w:val="top"/>
          </w:tcPr>
          <w:p w14:paraId="22AEE0B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合同名称</w:t>
            </w:r>
          </w:p>
        </w:tc>
        <w:tc>
          <w:tcPr>
            <w:tcW w:w="1466" w:type="dxa"/>
            <w:noWrap w:val="0"/>
            <w:vAlign w:val="top"/>
          </w:tcPr>
          <w:p w14:paraId="08124AB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1626" w:type="dxa"/>
            <w:noWrap w:val="0"/>
            <w:vAlign w:val="top"/>
          </w:tcPr>
          <w:p w14:paraId="6374733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合同起止日期</w:t>
            </w:r>
          </w:p>
        </w:tc>
        <w:tc>
          <w:tcPr>
            <w:tcW w:w="1845" w:type="dxa"/>
            <w:noWrap w:val="0"/>
            <w:vAlign w:val="top"/>
          </w:tcPr>
          <w:p w14:paraId="623C129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合同金额（万元）</w:t>
            </w:r>
          </w:p>
        </w:tc>
        <w:tc>
          <w:tcPr>
            <w:tcW w:w="1042" w:type="dxa"/>
            <w:noWrap w:val="0"/>
            <w:vAlign w:val="top"/>
          </w:tcPr>
          <w:p w14:paraId="60A3476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12548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24" w:type="dxa"/>
            <w:noWrap w:val="0"/>
            <w:vAlign w:val="top"/>
          </w:tcPr>
          <w:p w14:paraId="20015E2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15" w:type="dxa"/>
            <w:noWrap w:val="0"/>
            <w:vAlign w:val="top"/>
          </w:tcPr>
          <w:p w14:paraId="615FF23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 w14:paraId="5A937E2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top"/>
          </w:tcPr>
          <w:p w14:paraId="54BE286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12F5757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 w14:paraId="167C045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399F4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24" w:type="dxa"/>
            <w:noWrap w:val="0"/>
            <w:vAlign w:val="top"/>
          </w:tcPr>
          <w:p w14:paraId="050F2D0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615" w:type="dxa"/>
            <w:noWrap w:val="0"/>
            <w:vAlign w:val="top"/>
          </w:tcPr>
          <w:p w14:paraId="2273095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 w14:paraId="63C0389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top"/>
          </w:tcPr>
          <w:p w14:paraId="28016E8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4107525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 w14:paraId="7A71AF4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00CFE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24" w:type="dxa"/>
            <w:noWrap w:val="0"/>
            <w:vAlign w:val="top"/>
          </w:tcPr>
          <w:p w14:paraId="161384D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615" w:type="dxa"/>
            <w:noWrap w:val="0"/>
            <w:vAlign w:val="top"/>
          </w:tcPr>
          <w:p w14:paraId="71EABA0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 w14:paraId="27F9B7E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top"/>
          </w:tcPr>
          <w:p w14:paraId="2AEA631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471C27E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 w14:paraId="4F7DDF4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7FF1B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24" w:type="dxa"/>
            <w:noWrap w:val="0"/>
            <w:vAlign w:val="top"/>
          </w:tcPr>
          <w:p w14:paraId="7A2B829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615" w:type="dxa"/>
            <w:noWrap w:val="0"/>
            <w:vAlign w:val="top"/>
          </w:tcPr>
          <w:p w14:paraId="62F807F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 w14:paraId="15406FF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top"/>
          </w:tcPr>
          <w:p w14:paraId="2412FDC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0EB678A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 w14:paraId="5A9088B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5ED3E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24" w:type="dxa"/>
            <w:noWrap w:val="0"/>
            <w:vAlign w:val="top"/>
          </w:tcPr>
          <w:p w14:paraId="007033C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615" w:type="dxa"/>
            <w:noWrap w:val="0"/>
            <w:vAlign w:val="top"/>
          </w:tcPr>
          <w:p w14:paraId="270228D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 w14:paraId="03B6304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top"/>
          </w:tcPr>
          <w:p w14:paraId="618C93D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131E29D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 w14:paraId="5E544E7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1094B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24" w:type="dxa"/>
            <w:noWrap w:val="0"/>
            <w:vAlign w:val="top"/>
          </w:tcPr>
          <w:p w14:paraId="41913B4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...</w:t>
            </w:r>
          </w:p>
        </w:tc>
        <w:tc>
          <w:tcPr>
            <w:tcW w:w="1615" w:type="dxa"/>
            <w:noWrap w:val="0"/>
            <w:vAlign w:val="top"/>
          </w:tcPr>
          <w:p w14:paraId="76E482B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 w14:paraId="22ACB2F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top"/>
          </w:tcPr>
          <w:p w14:paraId="1338198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70AAAFF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top"/>
          </w:tcPr>
          <w:p w14:paraId="6B01B5B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5120F8BF">
      <w:pPr>
        <w:pStyle w:val="4"/>
        <w:ind w:left="0" w:leftChars="0" w:firstLine="0" w:firstLineChars="0"/>
        <w:jc w:val="both"/>
        <w:rPr>
          <w:rFonts w:hint="default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footerReference r:id="rId3" w:type="default"/>
      <w:pgSz w:w="11906" w:h="16838"/>
      <w:pgMar w:top="1327" w:right="1803" w:bottom="1327" w:left="180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66DB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0855A8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0855A8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EC2617"/>
    <w:multiLevelType w:val="singleLevel"/>
    <w:tmpl w:val="A5EC261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265"/>
        </w:tabs>
        <w:ind w:left="4265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2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abstractNum w:abstractNumId="2">
    <w:nsid w:val="6260650D"/>
    <w:multiLevelType w:val="singleLevel"/>
    <w:tmpl w:val="6260650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75DD70C5"/>
    <w:multiLevelType w:val="singleLevel"/>
    <w:tmpl w:val="75DD70C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M2VjZDk1MGRjNTJiMmU3MjlkOTgzNGU3NmNhMmUifQ=="/>
  </w:docVars>
  <w:rsids>
    <w:rsidRoot w:val="65E225CC"/>
    <w:rsid w:val="00066EBC"/>
    <w:rsid w:val="006B6D1F"/>
    <w:rsid w:val="01785B98"/>
    <w:rsid w:val="02F94AB6"/>
    <w:rsid w:val="04416380"/>
    <w:rsid w:val="04ED0EE6"/>
    <w:rsid w:val="04F232BC"/>
    <w:rsid w:val="05203B59"/>
    <w:rsid w:val="065009F7"/>
    <w:rsid w:val="073A0A7B"/>
    <w:rsid w:val="0781151E"/>
    <w:rsid w:val="08193505"/>
    <w:rsid w:val="08CE42EF"/>
    <w:rsid w:val="08CF1E16"/>
    <w:rsid w:val="092403B3"/>
    <w:rsid w:val="09296213"/>
    <w:rsid w:val="09BE6112"/>
    <w:rsid w:val="09C120A6"/>
    <w:rsid w:val="0BBB664F"/>
    <w:rsid w:val="0BD547E8"/>
    <w:rsid w:val="0CE51C08"/>
    <w:rsid w:val="0CEC11E8"/>
    <w:rsid w:val="0CF602B9"/>
    <w:rsid w:val="0D4252AC"/>
    <w:rsid w:val="0DE819AF"/>
    <w:rsid w:val="0E114925"/>
    <w:rsid w:val="0E5A3EDA"/>
    <w:rsid w:val="10081C5D"/>
    <w:rsid w:val="10E85FF3"/>
    <w:rsid w:val="1125116C"/>
    <w:rsid w:val="117479FE"/>
    <w:rsid w:val="11A809C3"/>
    <w:rsid w:val="126D2DCB"/>
    <w:rsid w:val="13531FC1"/>
    <w:rsid w:val="13862F37"/>
    <w:rsid w:val="14DF29B3"/>
    <w:rsid w:val="14F727B7"/>
    <w:rsid w:val="15D84578"/>
    <w:rsid w:val="16277048"/>
    <w:rsid w:val="16A9014A"/>
    <w:rsid w:val="173E4D36"/>
    <w:rsid w:val="17C422E5"/>
    <w:rsid w:val="17E551B2"/>
    <w:rsid w:val="181D494B"/>
    <w:rsid w:val="187C5B16"/>
    <w:rsid w:val="18A8690B"/>
    <w:rsid w:val="18C9062F"/>
    <w:rsid w:val="194F6D87"/>
    <w:rsid w:val="198E7CD0"/>
    <w:rsid w:val="1A825786"/>
    <w:rsid w:val="1A9A2EC7"/>
    <w:rsid w:val="1BAA299A"/>
    <w:rsid w:val="1BCB46BE"/>
    <w:rsid w:val="1BF43C15"/>
    <w:rsid w:val="1C4E0B38"/>
    <w:rsid w:val="1C4E77C9"/>
    <w:rsid w:val="1C8C20A0"/>
    <w:rsid w:val="1D2620E7"/>
    <w:rsid w:val="1D4330A6"/>
    <w:rsid w:val="1D9424D4"/>
    <w:rsid w:val="1DD2442A"/>
    <w:rsid w:val="1DD97567"/>
    <w:rsid w:val="1EAE09F3"/>
    <w:rsid w:val="1EFB7A76"/>
    <w:rsid w:val="1FA6126F"/>
    <w:rsid w:val="1FEB532F"/>
    <w:rsid w:val="20FE42D5"/>
    <w:rsid w:val="210A1262"/>
    <w:rsid w:val="216D06F2"/>
    <w:rsid w:val="22513B6F"/>
    <w:rsid w:val="228A0E2F"/>
    <w:rsid w:val="23274A4A"/>
    <w:rsid w:val="23311CBD"/>
    <w:rsid w:val="23351065"/>
    <w:rsid w:val="246A173A"/>
    <w:rsid w:val="24A87C93"/>
    <w:rsid w:val="24ED31F2"/>
    <w:rsid w:val="252B4B4C"/>
    <w:rsid w:val="253F05F7"/>
    <w:rsid w:val="2575765A"/>
    <w:rsid w:val="26256CDC"/>
    <w:rsid w:val="26812549"/>
    <w:rsid w:val="27932534"/>
    <w:rsid w:val="27A72484"/>
    <w:rsid w:val="27FF7BCA"/>
    <w:rsid w:val="28D70B46"/>
    <w:rsid w:val="28FE4325"/>
    <w:rsid w:val="291853E7"/>
    <w:rsid w:val="29C966E1"/>
    <w:rsid w:val="2A834AE2"/>
    <w:rsid w:val="2B6C1A1A"/>
    <w:rsid w:val="2C8C611B"/>
    <w:rsid w:val="2CED26E7"/>
    <w:rsid w:val="2D686211"/>
    <w:rsid w:val="2D8079FF"/>
    <w:rsid w:val="2DA41AC2"/>
    <w:rsid w:val="2DE735DA"/>
    <w:rsid w:val="2E5C5D76"/>
    <w:rsid w:val="2E620ED9"/>
    <w:rsid w:val="2F195A15"/>
    <w:rsid w:val="2F9B0B20"/>
    <w:rsid w:val="303E082A"/>
    <w:rsid w:val="30782C0F"/>
    <w:rsid w:val="319C46DB"/>
    <w:rsid w:val="319D13A2"/>
    <w:rsid w:val="32821B23"/>
    <w:rsid w:val="32E77BD8"/>
    <w:rsid w:val="32F522F5"/>
    <w:rsid w:val="33784CD4"/>
    <w:rsid w:val="34645984"/>
    <w:rsid w:val="35A16764"/>
    <w:rsid w:val="36B07061"/>
    <w:rsid w:val="370451FC"/>
    <w:rsid w:val="3747333B"/>
    <w:rsid w:val="38767F1F"/>
    <w:rsid w:val="39162FC5"/>
    <w:rsid w:val="391C188A"/>
    <w:rsid w:val="3949339B"/>
    <w:rsid w:val="3A15327D"/>
    <w:rsid w:val="3B273268"/>
    <w:rsid w:val="3B2D45F6"/>
    <w:rsid w:val="3BF55114"/>
    <w:rsid w:val="3C504A40"/>
    <w:rsid w:val="3C7609C6"/>
    <w:rsid w:val="3CE358B4"/>
    <w:rsid w:val="3D826E7B"/>
    <w:rsid w:val="3DA037A5"/>
    <w:rsid w:val="3EEA6F99"/>
    <w:rsid w:val="3F3C12AC"/>
    <w:rsid w:val="3F537863"/>
    <w:rsid w:val="3FD142AD"/>
    <w:rsid w:val="3FDD2A8F"/>
    <w:rsid w:val="4006797F"/>
    <w:rsid w:val="40DE1EB1"/>
    <w:rsid w:val="41792343"/>
    <w:rsid w:val="431E7646"/>
    <w:rsid w:val="43452E25"/>
    <w:rsid w:val="447C7AB1"/>
    <w:rsid w:val="45356EC9"/>
    <w:rsid w:val="45890630"/>
    <w:rsid w:val="46D3412A"/>
    <w:rsid w:val="46EC7395"/>
    <w:rsid w:val="470D3C59"/>
    <w:rsid w:val="478C0F23"/>
    <w:rsid w:val="47D66741"/>
    <w:rsid w:val="47EA5D49"/>
    <w:rsid w:val="49381F22"/>
    <w:rsid w:val="49E07403"/>
    <w:rsid w:val="49E30CA1"/>
    <w:rsid w:val="4A3414FD"/>
    <w:rsid w:val="4A8E3303"/>
    <w:rsid w:val="4B3317B5"/>
    <w:rsid w:val="4B7A5635"/>
    <w:rsid w:val="4BC15D6F"/>
    <w:rsid w:val="4CE16F37"/>
    <w:rsid w:val="4D275349"/>
    <w:rsid w:val="4D741851"/>
    <w:rsid w:val="4DFD1361"/>
    <w:rsid w:val="4E5263F6"/>
    <w:rsid w:val="4F306F66"/>
    <w:rsid w:val="4F8C664C"/>
    <w:rsid w:val="51037E7B"/>
    <w:rsid w:val="510D4856"/>
    <w:rsid w:val="51EE6435"/>
    <w:rsid w:val="526324EF"/>
    <w:rsid w:val="53794425"/>
    <w:rsid w:val="53966D85"/>
    <w:rsid w:val="53DA4EC3"/>
    <w:rsid w:val="53EE0F59"/>
    <w:rsid w:val="541859EC"/>
    <w:rsid w:val="54992FD0"/>
    <w:rsid w:val="54B03E76"/>
    <w:rsid w:val="55006BAB"/>
    <w:rsid w:val="551408A9"/>
    <w:rsid w:val="55986DE4"/>
    <w:rsid w:val="568C18E1"/>
    <w:rsid w:val="569E667C"/>
    <w:rsid w:val="56C225BA"/>
    <w:rsid w:val="56E60023"/>
    <w:rsid w:val="58F033DB"/>
    <w:rsid w:val="59080725"/>
    <w:rsid w:val="590A624B"/>
    <w:rsid w:val="59DF5911"/>
    <w:rsid w:val="5A4A2677"/>
    <w:rsid w:val="5A5A6D5E"/>
    <w:rsid w:val="5A6F20DD"/>
    <w:rsid w:val="5B5C4D58"/>
    <w:rsid w:val="5D543F38"/>
    <w:rsid w:val="5E0C0DC7"/>
    <w:rsid w:val="5EDB41E5"/>
    <w:rsid w:val="5F6D7533"/>
    <w:rsid w:val="5FB76A00"/>
    <w:rsid w:val="5FF51AC8"/>
    <w:rsid w:val="60152463"/>
    <w:rsid w:val="61504A17"/>
    <w:rsid w:val="618D7A19"/>
    <w:rsid w:val="62045801"/>
    <w:rsid w:val="622F0AD0"/>
    <w:rsid w:val="63DA2CBD"/>
    <w:rsid w:val="64406FC4"/>
    <w:rsid w:val="644B5969"/>
    <w:rsid w:val="64583B39"/>
    <w:rsid w:val="655945AB"/>
    <w:rsid w:val="65E225CC"/>
    <w:rsid w:val="66860EDB"/>
    <w:rsid w:val="668C4A2E"/>
    <w:rsid w:val="66D6776C"/>
    <w:rsid w:val="67572E32"/>
    <w:rsid w:val="67BF28F6"/>
    <w:rsid w:val="684C0AC0"/>
    <w:rsid w:val="68BC6E36"/>
    <w:rsid w:val="68CA3301"/>
    <w:rsid w:val="68E048D2"/>
    <w:rsid w:val="6AE35D56"/>
    <w:rsid w:val="6D480C98"/>
    <w:rsid w:val="6D8819DC"/>
    <w:rsid w:val="6DA63D6E"/>
    <w:rsid w:val="6E2E60E0"/>
    <w:rsid w:val="6E3A4A84"/>
    <w:rsid w:val="6F573414"/>
    <w:rsid w:val="6FDC1B6B"/>
    <w:rsid w:val="702E686B"/>
    <w:rsid w:val="71285068"/>
    <w:rsid w:val="718F50E7"/>
    <w:rsid w:val="72031631"/>
    <w:rsid w:val="72990018"/>
    <w:rsid w:val="73506AF8"/>
    <w:rsid w:val="739509AF"/>
    <w:rsid w:val="7419338E"/>
    <w:rsid w:val="744E128A"/>
    <w:rsid w:val="747D56CB"/>
    <w:rsid w:val="74A25132"/>
    <w:rsid w:val="76361FD5"/>
    <w:rsid w:val="76481D09"/>
    <w:rsid w:val="76701CDF"/>
    <w:rsid w:val="768F3E4B"/>
    <w:rsid w:val="76B7057B"/>
    <w:rsid w:val="77100A78"/>
    <w:rsid w:val="775E2FA5"/>
    <w:rsid w:val="77BB63BD"/>
    <w:rsid w:val="785E75C1"/>
    <w:rsid w:val="786411B7"/>
    <w:rsid w:val="78F84707"/>
    <w:rsid w:val="793D18CD"/>
    <w:rsid w:val="797F0137"/>
    <w:rsid w:val="798E2128"/>
    <w:rsid w:val="7B707D38"/>
    <w:rsid w:val="7C1941D0"/>
    <w:rsid w:val="7C345209"/>
    <w:rsid w:val="7CB22D08"/>
    <w:rsid w:val="7D4E40A8"/>
    <w:rsid w:val="7D5D42EC"/>
    <w:rsid w:val="7DB639FC"/>
    <w:rsid w:val="7DE14F1D"/>
    <w:rsid w:val="7E1F5A45"/>
    <w:rsid w:val="7EA45F4A"/>
    <w:rsid w:val="7F9F6E3D"/>
    <w:rsid w:val="7FB62C3D"/>
    <w:rsid w:val="7FD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numPr>
        <w:ilvl w:val="2"/>
        <w:numId w:val="1"/>
      </w:numPr>
      <w:tabs>
        <w:tab w:val="left" w:pos="900"/>
        <w:tab w:val="clear" w:pos="5269"/>
      </w:tabs>
      <w:spacing w:before="260" w:beforeLines="0" w:after="260" w:afterLines="0" w:line="360" w:lineRule="auto"/>
      <w:ind w:hanging="1249"/>
      <w:jc w:val="both"/>
      <w:outlineLvl w:val="2"/>
    </w:pPr>
    <w:rPr>
      <w:rFonts w:ascii="宋体" w:hAnsi="宋体"/>
      <w:b/>
      <w:bCs/>
      <w:kern w:val="2"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  <w:szCs w:val="24"/>
    </w:rPr>
  </w:style>
  <w:style w:type="paragraph" w:styleId="4">
    <w:name w:val="Body Text Indent 2"/>
    <w:basedOn w:val="1"/>
    <w:qFormat/>
    <w:uiPriority w:val="0"/>
    <w:pPr>
      <w:widowControl w:val="0"/>
      <w:ind w:firstLine="540" w:firstLineChars="257"/>
      <w:jc w:val="both"/>
    </w:pPr>
    <w:rPr>
      <w:kern w:val="2"/>
      <w:sz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unhideWhenUsed/>
    <w:qFormat/>
    <w:uiPriority w:val="99"/>
    <w:pPr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qFormat/>
    <w:uiPriority w:val="99"/>
    <w:rPr>
      <w:sz w:val="21"/>
      <w:szCs w:val="21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</w:style>
  <w:style w:type="character" w:customStyle="1" w:styleId="16">
    <w:name w:val="font51"/>
    <w:basedOn w:val="11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61"/>
    <w:basedOn w:val="11"/>
    <w:autoRedefine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71"/>
    <w:basedOn w:val="1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31"/>
    <w:basedOn w:val="11"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0">
    <w:name w:val="font41"/>
    <w:basedOn w:val="11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paragraph" w:customStyle="1" w:styleId="21">
    <w:name w:val="Table Text"/>
    <w:basedOn w:val="1"/>
    <w:semiHidden/>
    <w:qFormat/>
    <w:uiPriority w:val="0"/>
    <w:rPr>
      <w:rFonts w:ascii="等线" w:hAnsi="等线" w:eastAsia="等线" w:cs="等线"/>
      <w:sz w:val="20"/>
      <w:szCs w:val="20"/>
      <w:lang w:val="en-US" w:eastAsia="en-US" w:bidi="ar-SA"/>
    </w:rPr>
  </w:style>
  <w:style w:type="table" w:customStyle="1" w:styleId="2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font21"/>
    <w:basedOn w:val="11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24">
    <w:name w:val="font11"/>
    <w:basedOn w:val="11"/>
    <w:qFormat/>
    <w:uiPriority w:val="0"/>
    <w:rPr>
      <w:rFonts w:hint="eastAsia" w:ascii="等线" w:hAnsi="等线" w:eastAsia="等线" w:cs="等线"/>
      <w:b/>
      <w:bCs/>
      <w:color w:val="000000"/>
      <w:sz w:val="18"/>
      <w:szCs w:val="18"/>
      <w:u w:val="none"/>
    </w:rPr>
  </w:style>
  <w:style w:type="paragraph" w:customStyle="1" w:styleId="2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styleId="26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1568</Words>
  <Characters>1683</Characters>
  <Lines>0</Lines>
  <Paragraphs>0</Paragraphs>
  <TotalTime>8</TotalTime>
  <ScaleCrop>false</ScaleCrop>
  <LinksUpToDate>false</LinksUpToDate>
  <CharactersWithSpaces>1691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2020-03-02T08:54:00Z</dcterms:created>
  <dc:creator>心随缘1378886107</dc:creator>
  <cp:lastModifiedBy>Deng</cp:lastModifiedBy>
  <cp:lastPrinted>2025-06-04T01:26:00Z</cp:lastPrinted>
  <dcterms:modified xsi:type="dcterms:W3CDTF">2025-06-04T01:33:23Z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21BA4328B8F54222834C553DB480C64B_13</vt:lpwstr>
  </property>
  <property fmtid="{D5CDD505-2E9C-101B-9397-08002B2CF9AE}" pid="4" name="KSOTemplateDocerSaveRecord">
    <vt:lpwstr>eyJoZGlkIjoiMzUxM2VjZDk1MGRjNTJiMmU3MjlkOTgzNGU3NmNhMmUiLCJ1c2VySWQiOiIyNjQ4NDMyMTQifQ==</vt:lpwstr>
  </property>
</Properties>
</file>