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仿宋" w:hAnsi="仿宋" w:eastAsia="仿宋"/>
          <w:b/>
          <w:sz w:val="40"/>
          <w:szCs w:val="21"/>
        </w:rPr>
      </w:pPr>
      <w:r>
        <w:rPr>
          <w:rFonts w:hint="eastAsia" w:ascii="仿宋" w:hAnsi="仿宋" w:eastAsia="仿宋"/>
          <w:b/>
          <w:sz w:val="40"/>
          <w:szCs w:val="21"/>
        </w:rPr>
        <w:t>遴选编号：</w:t>
      </w:r>
      <w:bookmarkStart w:id="0" w:name="PO_项目编号_1"/>
    </w:p>
    <w:bookmarkEnd w:id="0"/>
    <w:p>
      <w:pPr>
        <w:spacing w:after="0" w:line="240" w:lineRule="auto"/>
        <w:jc w:val="center"/>
        <w:rPr>
          <w:rFonts w:hint="eastAsia" w:ascii="仿宋" w:hAnsi="仿宋" w:eastAsia="仿宋"/>
          <w:b/>
          <w:sz w:val="36"/>
          <w:szCs w:val="18"/>
        </w:rPr>
      </w:pPr>
      <w:r>
        <w:rPr>
          <w:rFonts w:hint="eastAsia" w:ascii="仿宋" w:hAnsi="仿宋" w:eastAsia="仿宋"/>
          <w:b/>
          <w:sz w:val="36"/>
          <w:szCs w:val="18"/>
        </w:rPr>
        <w:t>SGKYZ-LX-2023002</w:t>
      </w:r>
    </w:p>
    <w:p>
      <w:pPr>
        <w:spacing w:after="0" w:line="240" w:lineRule="auto"/>
        <w:jc w:val="center"/>
        <w:rPr>
          <w:rFonts w:hint="eastAsia" w:ascii="仿宋" w:hAnsi="仿宋" w:eastAsia="仿宋"/>
          <w:b/>
          <w:sz w:val="36"/>
          <w:szCs w:val="18"/>
        </w:rPr>
      </w:pPr>
      <w:r>
        <w:rPr>
          <w:rFonts w:hint="eastAsia" w:ascii="仿宋" w:hAnsi="仿宋" w:eastAsia="仿宋"/>
          <w:b/>
          <w:sz w:val="36"/>
          <w:szCs w:val="18"/>
        </w:rPr>
        <w:t>SGKYZ-LX-2023003</w:t>
      </w:r>
    </w:p>
    <w:p>
      <w:pPr>
        <w:spacing w:after="0" w:line="240" w:lineRule="auto"/>
        <w:jc w:val="center"/>
        <w:rPr>
          <w:rFonts w:ascii="仿宋" w:hAnsi="仿宋" w:eastAsia="仿宋"/>
          <w:b/>
          <w:sz w:val="36"/>
          <w:szCs w:val="18"/>
        </w:rPr>
      </w:pPr>
      <w:r>
        <w:rPr>
          <w:rFonts w:hint="eastAsia" w:ascii="仿宋" w:hAnsi="仿宋" w:eastAsia="仿宋"/>
          <w:b/>
          <w:sz w:val="36"/>
          <w:szCs w:val="18"/>
        </w:rPr>
        <w:t>SGKYZ-LX-2023004</w:t>
      </w:r>
    </w:p>
    <w:p>
      <w:pPr>
        <w:spacing w:after="0" w:line="240" w:lineRule="auto"/>
        <w:jc w:val="center"/>
        <w:rPr>
          <w:rFonts w:ascii="仿宋" w:hAnsi="仿宋" w:eastAsia="仿宋"/>
          <w:b/>
          <w:sz w:val="56"/>
          <w:szCs w:val="21"/>
        </w:rPr>
      </w:pPr>
      <w:bookmarkStart w:id="1" w:name="PO_项目名称_10"/>
      <w:r>
        <w:rPr>
          <w:rFonts w:hint="eastAsia" w:ascii="仿宋" w:hAnsi="仿宋" w:eastAsia="仿宋"/>
          <w:b/>
          <w:sz w:val="56"/>
          <w:szCs w:val="21"/>
        </w:rPr>
        <w:t>四川省骨科医院</w:t>
      </w:r>
    </w:p>
    <w:p>
      <w:pPr>
        <w:spacing w:after="0" w:line="240" w:lineRule="auto"/>
        <w:jc w:val="center"/>
        <w:rPr>
          <w:rFonts w:ascii="仿宋" w:hAnsi="仿宋" w:eastAsia="仿宋"/>
          <w:b/>
          <w:sz w:val="56"/>
          <w:szCs w:val="21"/>
        </w:rPr>
      </w:pPr>
      <w:r>
        <w:rPr>
          <w:rFonts w:hint="eastAsia" w:ascii="仿宋" w:hAnsi="仿宋" w:eastAsia="仿宋"/>
          <w:b/>
          <w:sz w:val="56"/>
          <w:szCs w:val="21"/>
        </w:rPr>
        <w:t>医用耗材遴选采购项目</w:t>
      </w:r>
      <w:bookmarkEnd w:id="1"/>
    </w:p>
    <w:p>
      <w:pPr>
        <w:spacing w:after="0" w:line="240" w:lineRule="auto"/>
        <w:rPr>
          <w:rFonts w:ascii="仿宋" w:hAnsi="仿宋" w:eastAsia="仿宋"/>
          <w:b/>
          <w:sz w:val="56"/>
          <w:szCs w:val="21"/>
        </w:rPr>
      </w:pPr>
    </w:p>
    <w:p>
      <w:pPr>
        <w:spacing w:after="0" w:line="240" w:lineRule="auto"/>
        <w:jc w:val="center"/>
        <w:rPr>
          <w:rFonts w:ascii="仿宋" w:hAnsi="仿宋" w:eastAsia="仿宋"/>
          <w:b/>
          <w:sz w:val="56"/>
          <w:szCs w:val="21"/>
        </w:rPr>
      </w:pPr>
      <w:r>
        <w:rPr>
          <w:rFonts w:hint="eastAsia" w:ascii="仿宋" w:hAnsi="仿宋" w:eastAsia="仿宋"/>
          <w:b/>
          <w:sz w:val="56"/>
          <w:szCs w:val="21"/>
        </w:rPr>
        <w:t>遴</w:t>
      </w:r>
    </w:p>
    <w:p>
      <w:pPr>
        <w:spacing w:after="0" w:line="240" w:lineRule="auto"/>
        <w:jc w:val="center"/>
        <w:rPr>
          <w:rFonts w:ascii="仿宋" w:hAnsi="仿宋" w:eastAsia="仿宋"/>
          <w:b/>
          <w:sz w:val="56"/>
          <w:szCs w:val="21"/>
        </w:rPr>
      </w:pPr>
      <w:r>
        <w:rPr>
          <w:rFonts w:hint="eastAsia" w:ascii="仿宋" w:hAnsi="仿宋" w:eastAsia="仿宋"/>
          <w:b/>
          <w:sz w:val="56"/>
          <w:szCs w:val="21"/>
        </w:rPr>
        <w:t>选</w:t>
      </w:r>
    </w:p>
    <w:p>
      <w:pPr>
        <w:spacing w:after="0" w:line="240" w:lineRule="auto"/>
        <w:jc w:val="center"/>
        <w:rPr>
          <w:rFonts w:ascii="仿宋" w:hAnsi="仿宋" w:eastAsia="仿宋"/>
          <w:b/>
          <w:sz w:val="56"/>
          <w:szCs w:val="21"/>
        </w:rPr>
      </w:pPr>
      <w:r>
        <w:rPr>
          <w:rFonts w:hint="eastAsia" w:ascii="仿宋" w:hAnsi="仿宋" w:eastAsia="仿宋"/>
          <w:b/>
          <w:sz w:val="56"/>
          <w:szCs w:val="21"/>
        </w:rPr>
        <w:t>评</w:t>
      </w:r>
    </w:p>
    <w:p>
      <w:pPr>
        <w:spacing w:after="0" w:line="240" w:lineRule="auto"/>
        <w:jc w:val="center"/>
        <w:rPr>
          <w:rFonts w:ascii="仿宋" w:hAnsi="仿宋" w:eastAsia="仿宋"/>
          <w:b/>
          <w:sz w:val="56"/>
          <w:szCs w:val="21"/>
        </w:rPr>
      </w:pPr>
      <w:r>
        <w:rPr>
          <w:rFonts w:hint="eastAsia" w:ascii="仿宋" w:hAnsi="仿宋" w:eastAsia="仿宋"/>
          <w:b/>
          <w:sz w:val="56"/>
          <w:szCs w:val="21"/>
        </w:rPr>
        <w:t>议</w:t>
      </w:r>
    </w:p>
    <w:p>
      <w:pPr>
        <w:spacing w:after="0" w:line="240" w:lineRule="auto"/>
        <w:jc w:val="center"/>
        <w:rPr>
          <w:rFonts w:ascii="仿宋" w:hAnsi="仿宋" w:eastAsia="仿宋"/>
          <w:b/>
          <w:sz w:val="56"/>
          <w:szCs w:val="21"/>
        </w:rPr>
      </w:pPr>
      <w:r>
        <w:rPr>
          <w:rFonts w:hint="eastAsia" w:ascii="仿宋" w:hAnsi="仿宋" w:eastAsia="仿宋"/>
          <w:b/>
          <w:sz w:val="56"/>
          <w:szCs w:val="21"/>
        </w:rPr>
        <w:t>文</w:t>
      </w:r>
    </w:p>
    <w:p>
      <w:pPr>
        <w:spacing w:after="0" w:line="240" w:lineRule="auto"/>
        <w:jc w:val="center"/>
        <w:rPr>
          <w:rFonts w:ascii="仿宋" w:hAnsi="仿宋" w:eastAsia="仿宋"/>
          <w:b/>
          <w:sz w:val="56"/>
          <w:szCs w:val="21"/>
        </w:rPr>
      </w:pPr>
      <w:r>
        <w:rPr>
          <w:rFonts w:hint="eastAsia" w:ascii="仿宋" w:hAnsi="仿宋" w:eastAsia="仿宋"/>
          <w:b/>
          <w:sz w:val="56"/>
          <w:szCs w:val="21"/>
        </w:rPr>
        <w:t>件</w:t>
      </w:r>
    </w:p>
    <w:p>
      <w:pPr>
        <w:spacing w:after="0" w:line="240" w:lineRule="auto"/>
        <w:rPr>
          <w:rFonts w:ascii="仿宋" w:hAnsi="仿宋" w:eastAsia="仿宋"/>
          <w:b/>
          <w:sz w:val="56"/>
          <w:szCs w:val="21"/>
        </w:rPr>
      </w:pPr>
    </w:p>
    <w:p>
      <w:pPr>
        <w:spacing w:after="0" w:line="240" w:lineRule="auto"/>
        <w:jc w:val="center"/>
        <w:rPr>
          <w:rFonts w:ascii="仿宋" w:hAnsi="仿宋" w:eastAsia="仿宋" w:cs="宋体"/>
          <w:b/>
          <w:sz w:val="56"/>
          <w:szCs w:val="21"/>
        </w:rPr>
      </w:pPr>
      <w:bookmarkStart w:id="2" w:name="PO_采购人_1"/>
      <w:r>
        <w:rPr>
          <w:rFonts w:hint="eastAsia" w:ascii="仿宋" w:hAnsi="仿宋" w:eastAsia="仿宋" w:cs="宋体"/>
          <w:b/>
          <w:sz w:val="56"/>
          <w:szCs w:val="21"/>
        </w:rPr>
        <w:t>四川省骨科医院</w:t>
      </w:r>
      <w:bookmarkEnd w:id="2"/>
    </w:p>
    <w:p>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23</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5</w:t>
      </w:r>
      <w:r>
        <w:rPr>
          <w:rFonts w:hint="eastAsia" w:ascii="仿宋" w:hAnsi="仿宋" w:eastAsia="仿宋" w:cs="宋体"/>
          <w:b/>
          <w:sz w:val="56"/>
          <w:szCs w:val="21"/>
          <w:lang w:val="zh-CN"/>
        </w:rPr>
        <w:t>月</w:t>
      </w:r>
    </w:p>
    <w:p>
      <w:pPr>
        <w:spacing w:after="0" w:line="600" w:lineRule="exact"/>
        <w:jc w:val="center"/>
        <w:rPr>
          <w:rFonts w:ascii="仿宋" w:hAnsi="仿宋" w:eastAsia="仿宋"/>
          <w:b/>
          <w:bCs/>
          <w:sz w:val="22"/>
          <w:szCs w:val="21"/>
        </w:rPr>
      </w:pPr>
      <w:bookmarkStart w:id="3" w:name="_Hlt101843627"/>
      <w:bookmarkEnd w:id="3"/>
      <w:bookmarkStart w:id="4" w:name="_Hlt101233737"/>
      <w:bookmarkEnd w:id="4"/>
      <w:r>
        <w:rPr>
          <w:rFonts w:hint="eastAsia" w:ascii="仿宋" w:hAnsi="仿宋" w:eastAsia="仿宋"/>
          <w:b/>
          <w:bCs/>
          <w:sz w:val="22"/>
          <w:szCs w:val="21"/>
        </w:rPr>
        <w:t>目    录</w:t>
      </w:r>
    </w:p>
    <w:p>
      <w:pPr>
        <w:spacing w:after="0" w:line="600" w:lineRule="exact"/>
        <w:jc w:val="center"/>
        <w:rPr>
          <w:rFonts w:ascii="仿宋" w:hAnsi="仿宋" w:eastAsia="仿宋"/>
          <w:b/>
          <w:bCs/>
          <w:sz w:val="22"/>
          <w:szCs w:val="21"/>
        </w:rPr>
      </w:pPr>
    </w:p>
    <w:p>
      <w:pPr>
        <w:pStyle w:val="17"/>
        <w:tabs>
          <w:tab w:val="right" w:leader="middleDot" w:pos="8959"/>
        </w:tabs>
        <w:spacing w:after="0" w:line="600" w:lineRule="exact"/>
        <w:rPr>
          <w:rFonts w:ascii="仿宋" w:hAnsi="仿宋" w:eastAsia="仿宋" w:cs="宋体"/>
          <w:sz w:val="22"/>
          <w:szCs w:val="21"/>
        </w:rPr>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fldChar w:fldCharType="begin"/>
      </w:r>
      <w:r>
        <w:instrText xml:space="preserve"> HYPERLINK \l "_Toc6066" </w:instrText>
      </w:r>
      <w:r>
        <w:fldChar w:fldCharType="separate"/>
      </w:r>
      <w:r>
        <w:rPr>
          <w:rFonts w:hint="eastAsia" w:ascii="仿宋" w:hAnsi="仿宋" w:eastAsia="仿宋" w:cs="宋体"/>
          <w:sz w:val="22"/>
          <w:szCs w:val="21"/>
        </w:rPr>
        <w:t>第一章  遴选</w:t>
      </w:r>
      <w:bookmarkStart w:id="5" w:name="_Hlt493498728"/>
      <w:bookmarkStart w:id="6" w:name="_Hlt493498729"/>
      <w:r>
        <w:rPr>
          <w:rFonts w:hint="eastAsia" w:ascii="仿宋" w:hAnsi="仿宋" w:eastAsia="仿宋" w:cs="宋体"/>
          <w:sz w:val="22"/>
          <w:szCs w:val="21"/>
        </w:rPr>
        <w:t>邀</w:t>
      </w:r>
      <w:bookmarkEnd w:id="5"/>
      <w:bookmarkEnd w:id="6"/>
      <w:r>
        <w:rPr>
          <w:rFonts w:hint="eastAsia" w:ascii="仿宋" w:hAnsi="仿宋" w:eastAsia="仿宋" w:cs="宋体"/>
          <w:sz w:val="22"/>
          <w:szCs w:val="21"/>
        </w:rPr>
        <w:t>请</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_Toc6066 </w:instrText>
      </w:r>
      <w:r>
        <w:rPr>
          <w:rFonts w:hint="eastAsia" w:ascii="仿宋" w:hAnsi="仿宋" w:eastAsia="仿宋" w:cs="宋体"/>
          <w:sz w:val="22"/>
          <w:szCs w:val="21"/>
        </w:rPr>
        <w:fldChar w:fldCharType="separate"/>
      </w:r>
      <w:r>
        <w:rPr>
          <w:rFonts w:hint="eastAsia" w:ascii="仿宋" w:hAnsi="仿宋" w:eastAsia="仿宋" w:cs="宋体"/>
          <w:sz w:val="22"/>
          <w:szCs w:val="21"/>
        </w:rPr>
        <w:t>3</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"_Toc12420" </w:instrText>
      </w:r>
      <w:r>
        <w:fldChar w:fldCharType="separate"/>
      </w:r>
      <w:r>
        <w:rPr>
          <w:rFonts w:hint="eastAsia" w:ascii="仿宋" w:hAnsi="仿宋" w:eastAsia="仿宋" w:cs="宋体"/>
          <w:sz w:val="22"/>
          <w:szCs w:val="21"/>
        </w:rPr>
        <w:t>第二章  供应商须知</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_Toc12420 </w:instrText>
      </w:r>
      <w:r>
        <w:rPr>
          <w:rFonts w:hint="eastAsia" w:ascii="仿宋" w:hAnsi="仿宋" w:eastAsia="仿宋" w:cs="宋体"/>
          <w:sz w:val="22"/>
          <w:szCs w:val="21"/>
        </w:rPr>
        <w:fldChar w:fldCharType="separate"/>
      </w:r>
      <w:r>
        <w:rPr>
          <w:rFonts w:hint="eastAsia" w:ascii="仿宋" w:hAnsi="仿宋" w:eastAsia="仿宋" w:cs="宋体"/>
          <w:sz w:val="22"/>
          <w:szCs w:val="21"/>
        </w:rPr>
        <w:t>4</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"_Toc24369" </w:instrText>
      </w:r>
      <w:r>
        <w:fldChar w:fldCharType="separate"/>
      </w:r>
      <w:r>
        <w:rPr>
          <w:rFonts w:hint="eastAsia" w:ascii="仿宋" w:hAnsi="仿宋" w:eastAsia="仿宋" w:cs="宋体"/>
          <w:sz w:val="22"/>
          <w:szCs w:val="21"/>
        </w:rPr>
        <w:t>第三章  遴选评议文件格式</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_Toc24369 </w:instrText>
      </w:r>
      <w:r>
        <w:rPr>
          <w:rFonts w:hint="eastAsia" w:ascii="仿宋" w:hAnsi="仿宋" w:eastAsia="仿宋" w:cs="宋体"/>
          <w:sz w:val="22"/>
          <w:szCs w:val="21"/>
        </w:rPr>
        <w:fldChar w:fldCharType="separate"/>
      </w:r>
      <w:r>
        <w:rPr>
          <w:rFonts w:hint="eastAsia" w:ascii="仿宋" w:hAnsi="仿宋" w:eastAsia="仿宋" w:cs="宋体"/>
          <w:sz w:val="22"/>
          <w:szCs w:val="21"/>
        </w:rPr>
        <w:t>12</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"_Toc28654" </w:instrText>
      </w:r>
      <w:r>
        <w:fldChar w:fldCharType="separate"/>
      </w:r>
      <w:r>
        <w:rPr>
          <w:rFonts w:hint="eastAsia" w:ascii="仿宋" w:hAnsi="仿宋" w:eastAsia="仿宋" w:cs="宋体"/>
          <w:sz w:val="22"/>
          <w:szCs w:val="21"/>
        </w:rPr>
        <w:t>第四章  供应商和遴选产品的资格、资质性及其他类似效力要求</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_Toc28654 </w:instrText>
      </w:r>
      <w:r>
        <w:rPr>
          <w:rFonts w:hint="eastAsia" w:ascii="仿宋" w:hAnsi="仿宋" w:eastAsia="仿宋" w:cs="宋体"/>
          <w:sz w:val="22"/>
          <w:szCs w:val="21"/>
        </w:rPr>
        <w:fldChar w:fldCharType="separate"/>
      </w:r>
      <w:r>
        <w:rPr>
          <w:rFonts w:hint="eastAsia" w:ascii="仿宋" w:hAnsi="仿宋" w:eastAsia="仿宋" w:cs="宋体"/>
          <w:sz w:val="22"/>
          <w:szCs w:val="21"/>
        </w:rPr>
        <w:t>28</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"_Toc3806" </w:instrText>
      </w:r>
      <w:r>
        <w:fldChar w:fldCharType="separate"/>
      </w:r>
      <w:r>
        <w:rPr>
          <w:rFonts w:hint="eastAsia" w:ascii="仿宋" w:hAnsi="仿宋" w:eastAsia="仿宋" w:cs="宋体"/>
          <w:sz w:val="22"/>
          <w:szCs w:val="21"/>
        </w:rPr>
        <w:t>第五章  供应商应当提供的资格、资质性及其他类似效力要求的相关证明材料</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_Toc3806 </w:instrText>
      </w:r>
      <w:r>
        <w:rPr>
          <w:rFonts w:hint="eastAsia" w:ascii="仿宋" w:hAnsi="仿宋" w:eastAsia="仿宋" w:cs="宋体"/>
          <w:sz w:val="22"/>
          <w:szCs w:val="21"/>
        </w:rPr>
        <w:fldChar w:fldCharType="separate"/>
      </w:r>
      <w:r>
        <w:rPr>
          <w:rFonts w:hint="eastAsia" w:ascii="仿宋" w:hAnsi="仿宋" w:eastAsia="仿宋" w:cs="宋体"/>
          <w:sz w:val="22"/>
          <w:szCs w:val="21"/>
        </w:rPr>
        <w:t>29</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"_Toc2122" </w:instrText>
      </w:r>
      <w:r>
        <w:fldChar w:fldCharType="separate"/>
      </w:r>
      <w:r>
        <w:rPr>
          <w:rFonts w:hint="eastAsia" w:ascii="仿宋" w:hAnsi="仿宋" w:eastAsia="仿宋" w:cs="宋体"/>
          <w:sz w:val="22"/>
          <w:szCs w:val="21"/>
        </w:rPr>
        <w:t>第六章  遴选项目技术、服务、商务及其他要求</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_Toc2122 </w:instrText>
      </w:r>
      <w:r>
        <w:rPr>
          <w:rFonts w:hint="eastAsia" w:ascii="仿宋" w:hAnsi="仿宋" w:eastAsia="仿宋" w:cs="宋体"/>
          <w:sz w:val="22"/>
          <w:szCs w:val="21"/>
        </w:rPr>
        <w:fldChar w:fldCharType="separate"/>
      </w:r>
      <w:r>
        <w:rPr>
          <w:rFonts w:hint="eastAsia" w:ascii="仿宋" w:hAnsi="仿宋" w:eastAsia="仿宋" w:cs="宋体"/>
          <w:sz w:val="22"/>
          <w:szCs w:val="21"/>
        </w:rPr>
        <w:t>30</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"_Toc31810" </w:instrText>
      </w:r>
      <w:r>
        <w:fldChar w:fldCharType="separate"/>
      </w:r>
      <w:r>
        <w:rPr>
          <w:rFonts w:hint="eastAsia" w:ascii="仿宋" w:hAnsi="仿宋" w:eastAsia="仿宋" w:cs="宋体"/>
          <w:sz w:val="22"/>
          <w:szCs w:val="21"/>
        </w:rPr>
        <w:t>第七章  评议办法</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_Toc31810 </w:instrText>
      </w:r>
      <w:r>
        <w:rPr>
          <w:rFonts w:hint="eastAsia" w:ascii="仿宋" w:hAnsi="仿宋" w:eastAsia="仿宋" w:cs="宋体"/>
          <w:sz w:val="22"/>
          <w:szCs w:val="21"/>
        </w:rPr>
        <w:fldChar w:fldCharType="separate"/>
      </w:r>
      <w:r>
        <w:rPr>
          <w:rFonts w:hint="eastAsia" w:ascii="仿宋" w:hAnsi="仿宋" w:eastAsia="仿宋" w:cs="宋体"/>
          <w:sz w:val="22"/>
          <w:szCs w:val="21"/>
        </w:rPr>
        <w:t>31</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"_Toc5845" </w:instrText>
      </w:r>
      <w:r>
        <w:fldChar w:fldCharType="separate"/>
      </w:r>
      <w:r>
        <w:rPr>
          <w:rFonts w:hint="eastAsia" w:ascii="仿宋" w:hAnsi="仿宋" w:eastAsia="仿宋" w:cs="宋体"/>
          <w:sz w:val="22"/>
          <w:szCs w:val="21"/>
        </w:rPr>
        <w:t>第八章  遴选采购合同</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_Toc5845 </w:instrText>
      </w:r>
      <w:r>
        <w:rPr>
          <w:rFonts w:hint="eastAsia" w:ascii="仿宋" w:hAnsi="仿宋" w:eastAsia="仿宋" w:cs="宋体"/>
          <w:sz w:val="22"/>
          <w:szCs w:val="21"/>
        </w:rPr>
        <w:fldChar w:fldCharType="separate"/>
      </w:r>
      <w:r>
        <w:rPr>
          <w:rFonts w:hint="eastAsia" w:ascii="仿宋" w:hAnsi="仿宋" w:eastAsia="仿宋" w:cs="宋体"/>
          <w:sz w:val="22"/>
          <w:szCs w:val="21"/>
        </w:rPr>
        <w:t>39</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 w:val="22"/>
          <w:szCs w:val="21"/>
        </w:rPr>
        <w:fldChar w:fldCharType="end"/>
      </w:r>
      <w:bookmarkStart w:id="7" w:name="_Toc24584"/>
      <w:bookmarkStart w:id="8" w:name="_Toc6066"/>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第一章  遴选邀请</w:t>
      </w:r>
      <w:bookmarkEnd w:id="7"/>
      <w:bookmarkEnd w:id="8"/>
    </w:p>
    <w:p>
      <w:pPr>
        <w:tabs>
          <w:tab w:val="left" w:pos="7665"/>
        </w:tabs>
        <w:spacing w:after="0" w:line="240" w:lineRule="auto"/>
        <w:ind w:firstLine="550" w:firstLineChars="250"/>
        <w:rPr>
          <w:rFonts w:ascii="仿宋" w:hAnsi="仿宋" w:eastAsia="仿宋" w:cs="宋体"/>
          <w:sz w:val="22"/>
          <w:szCs w:val="21"/>
        </w:rPr>
      </w:pPr>
      <w:bookmarkStart w:id="9" w:name="PO_采购人_2"/>
      <w:r>
        <w:rPr>
          <w:rFonts w:hint="eastAsia" w:ascii="仿宋" w:hAnsi="仿宋" w:eastAsia="仿宋" w:cs="宋体"/>
          <w:sz w:val="22"/>
          <w:szCs w:val="21"/>
          <w:u w:val="single"/>
        </w:rPr>
        <w:t>四川省骨科医院</w:t>
      </w:r>
      <w:bookmarkEnd w:id="9"/>
      <w:r>
        <w:rPr>
          <w:rFonts w:hint="eastAsia" w:ascii="仿宋" w:hAnsi="仿宋" w:eastAsia="仿宋" w:cs="宋体"/>
          <w:sz w:val="22"/>
          <w:szCs w:val="21"/>
        </w:rPr>
        <w:t>拟对</w:t>
      </w:r>
      <w:bookmarkStart w:id="10" w:name="PO_项目名称_3"/>
      <w:r>
        <w:rPr>
          <w:rFonts w:hint="eastAsia" w:ascii="仿宋" w:hAnsi="仿宋" w:eastAsia="仿宋" w:cs="宋体"/>
          <w:sz w:val="22"/>
          <w:szCs w:val="21"/>
          <w:u w:val="single"/>
        </w:rPr>
        <w:t>四川省骨科医院</w:t>
      </w:r>
      <w:bookmarkEnd w:id="10"/>
      <w:r>
        <w:rPr>
          <w:rFonts w:hint="eastAsia" w:ascii="仿宋" w:hAnsi="仿宋" w:eastAsia="仿宋" w:cs="宋体"/>
          <w:sz w:val="22"/>
          <w:szCs w:val="21"/>
          <w:highlight w:val="yellow"/>
          <w:u w:val="single"/>
          <w:lang w:eastAsia="zh-CN"/>
        </w:rPr>
        <w:t>医用耗材</w:t>
      </w:r>
      <w:r>
        <w:rPr>
          <w:rFonts w:hint="eastAsia" w:ascii="仿宋" w:hAnsi="仿宋" w:eastAsia="仿宋" w:cs="宋体"/>
          <w:sz w:val="22"/>
          <w:szCs w:val="21"/>
          <w:u w:val="single"/>
        </w:rPr>
        <w:t>遴选项目</w:t>
      </w:r>
      <w:r>
        <w:rPr>
          <w:rFonts w:ascii="仿宋" w:hAnsi="仿宋" w:eastAsia="仿宋" w:cs="宋体"/>
          <w:sz w:val="22"/>
          <w:szCs w:val="21"/>
          <w:u w:val="single"/>
        </w:rPr>
        <w:t xml:space="preserve"> </w:t>
      </w:r>
      <w:bookmarkStart w:id="11" w:name="PO_默认文件内容_4"/>
      <w:r>
        <w:rPr>
          <w:rFonts w:hint="eastAsia" w:ascii="仿宋" w:hAnsi="仿宋" w:eastAsia="仿宋" w:cs="宋体"/>
          <w:sz w:val="22"/>
          <w:szCs w:val="21"/>
        </w:rPr>
        <w:t>进行面向社会进行遴选采购，兹邀请符合本次遴选供应推荐要求的供应商参加遴选。</w:t>
      </w:r>
      <w:bookmarkEnd w:id="11"/>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一、遴选编号：</w:t>
      </w:r>
      <w:bookmarkStart w:id="12" w:name="PO_项目编号_2"/>
      <w:r>
        <w:rPr>
          <w:rFonts w:ascii="仿宋" w:hAnsi="仿宋" w:eastAsia="仿宋"/>
          <w:sz w:val="22"/>
          <w:szCs w:val="21"/>
        </w:rPr>
        <w:t xml:space="preserve"> </w:t>
      </w:r>
      <w:bookmarkEnd w:id="12"/>
      <w:r>
        <w:rPr>
          <w:rFonts w:hint="eastAsia" w:ascii="仿宋" w:hAnsi="仿宋" w:eastAsia="仿宋"/>
          <w:sz w:val="22"/>
          <w:szCs w:val="21"/>
        </w:rPr>
        <w:t xml:space="preserve">  </w:t>
      </w:r>
      <w:r>
        <w:rPr>
          <w:rFonts w:hint="eastAsia" w:ascii="仿宋" w:hAnsi="仿宋" w:eastAsia="仿宋"/>
          <w:b/>
          <w:sz w:val="22"/>
          <w:szCs w:val="21"/>
        </w:rPr>
        <w:t xml:space="preserve">  </w:t>
      </w:r>
    </w:p>
    <w:p>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w:t>
      </w:r>
      <w:r>
        <w:rPr>
          <w:rFonts w:hint="eastAsia" w:ascii="仿宋" w:hAnsi="仿宋" w:eastAsia="仿宋"/>
          <w:b/>
          <w:bCs/>
          <w:sz w:val="22"/>
          <w:szCs w:val="21"/>
        </w:rPr>
        <w:t>、</w:t>
      </w:r>
      <w:r>
        <w:rPr>
          <w:rFonts w:hint="eastAsia" w:ascii="仿宋" w:hAnsi="仿宋" w:eastAsia="仿宋"/>
          <w:b/>
          <w:sz w:val="22"/>
          <w:szCs w:val="21"/>
        </w:rPr>
        <w:t>遴选评议项目简介：</w:t>
      </w:r>
    </w:p>
    <w:p>
      <w:pPr>
        <w:spacing w:afterLines="50" w:line="240" w:lineRule="auto"/>
        <w:ind w:firstLine="424" w:firstLineChars="200"/>
        <w:rPr>
          <w:rFonts w:ascii="仿宋" w:hAnsi="仿宋" w:eastAsia="仿宋"/>
          <w:spacing w:val="-4"/>
          <w:sz w:val="22"/>
          <w:szCs w:val="21"/>
        </w:rPr>
      </w:pPr>
      <w:bookmarkStart w:id="13" w:name="PO_默认文件内容_3"/>
      <w:r>
        <w:rPr>
          <w:rFonts w:hint="eastAsia" w:ascii="仿宋" w:hAnsi="仿宋" w:eastAsia="仿宋"/>
          <w:spacing w:val="-4"/>
          <w:sz w:val="22"/>
          <w:szCs w:val="21"/>
        </w:rPr>
        <w:t>本次遴选评议内容详见《医用耗材遴选供应推荐目录》</w:t>
      </w:r>
    </w:p>
    <w:bookmarkEnd w:id="13"/>
    <w:p>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pPr>
        <w:pStyle w:val="43"/>
        <w:spacing w:after="0" w:line="240" w:lineRule="auto"/>
        <w:ind w:firstLine="550" w:firstLineChars="250"/>
        <w:rPr>
          <w:rFonts w:ascii="仿宋" w:hAnsi="仿宋" w:eastAsia="仿宋" w:cs="宋体"/>
          <w:sz w:val="22"/>
          <w:szCs w:val="21"/>
        </w:rPr>
      </w:pPr>
      <w:bookmarkStart w:id="14" w:name="PO_供应商资格条件_1"/>
      <w:r>
        <w:rPr>
          <w:rFonts w:hint="eastAsia" w:ascii="仿宋" w:hAnsi="仿宋" w:eastAsia="仿宋" w:cs="宋体"/>
          <w:sz w:val="22"/>
          <w:szCs w:val="21"/>
        </w:rPr>
        <w:t>1、具有独立承担民事责任的能力；</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4"/>
    <w:p>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pPr>
        <w:spacing w:after="0" w:line="240" w:lineRule="auto"/>
        <w:ind w:firstLine="440" w:firstLineChars="200"/>
        <w:rPr>
          <w:rFonts w:ascii="仿宋" w:hAnsi="仿宋" w:eastAsia="仿宋"/>
          <w:sz w:val="22"/>
          <w:szCs w:val="21"/>
        </w:rPr>
      </w:pPr>
      <w:bookmarkStart w:id="15"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5"/>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6" w:name="PO_默认文件内容_40"/>
      <w:r>
        <w:rPr>
          <w:rFonts w:hint="eastAsia" w:ascii="仿宋" w:hAnsi="仿宋" w:eastAsia="仿宋"/>
          <w:sz w:val="22"/>
          <w:szCs w:val="21"/>
        </w:rPr>
        <w:t>制作遴选评议文件。。</w:t>
      </w:r>
      <w:bookmarkEnd w:id="16"/>
    </w:p>
    <w:p>
      <w:pPr>
        <w:spacing w:afterLines="50" w:line="240" w:lineRule="auto"/>
        <w:ind w:firstLine="442" w:firstLineChars="200"/>
        <w:rPr>
          <w:rFonts w:ascii="仿宋" w:hAnsi="仿宋" w:eastAsia="仿宋"/>
          <w:sz w:val="22"/>
          <w:szCs w:val="21"/>
        </w:rPr>
      </w:pPr>
      <w:r>
        <w:rPr>
          <w:rFonts w:hint="eastAsia" w:ascii="仿宋" w:hAnsi="仿宋" w:eastAsia="仿宋"/>
          <w:b/>
          <w:sz w:val="22"/>
          <w:szCs w:val="21"/>
        </w:rPr>
        <w:t>六、遴选评议文件截止时间和遴选评议时间：</w:t>
      </w:r>
    </w:p>
    <w:p>
      <w:pPr>
        <w:spacing w:afterLines="50" w:line="240" w:lineRule="auto"/>
        <w:ind w:firstLine="442" w:firstLineChars="200"/>
        <w:rPr>
          <w:rFonts w:ascii="仿宋" w:hAnsi="仿宋" w:eastAsia="仿宋"/>
          <w:sz w:val="22"/>
          <w:szCs w:val="21"/>
        </w:rPr>
      </w:pPr>
      <w:r>
        <w:rPr>
          <w:rFonts w:hint="eastAsia" w:ascii="仿宋" w:hAnsi="仿宋" w:eastAsia="仿宋"/>
          <w:b/>
          <w:sz w:val="22"/>
          <w:szCs w:val="21"/>
        </w:rPr>
        <w:t>遴选评议文件接收截止时间：</w:t>
      </w:r>
      <w:r>
        <w:rPr>
          <w:rFonts w:hint="eastAsia" w:ascii="仿宋" w:hAnsi="仿宋" w:eastAsia="仿宋"/>
          <w:sz w:val="22"/>
          <w:szCs w:val="21"/>
        </w:rPr>
        <w:t>202</w:t>
      </w:r>
      <w:r>
        <w:rPr>
          <w:rFonts w:hint="eastAsia" w:ascii="仿宋" w:hAnsi="仿宋" w:eastAsia="仿宋"/>
          <w:sz w:val="22"/>
          <w:szCs w:val="21"/>
          <w:lang w:val="en-US" w:eastAsia="zh-CN"/>
        </w:rPr>
        <w:t>3</w:t>
      </w:r>
      <w:r>
        <w:rPr>
          <w:rFonts w:hint="eastAsia" w:ascii="仿宋" w:hAnsi="仿宋" w:eastAsia="仿宋"/>
          <w:sz w:val="22"/>
          <w:szCs w:val="21"/>
        </w:rPr>
        <w:t>年</w:t>
      </w:r>
      <w:r>
        <w:rPr>
          <w:rFonts w:hint="eastAsia" w:ascii="仿宋" w:hAnsi="仿宋" w:eastAsia="仿宋"/>
          <w:sz w:val="22"/>
          <w:szCs w:val="21"/>
          <w:lang w:val="en-US" w:eastAsia="zh-CN"/>
        </w:rPr>
        <w:t>5</w:t>
      </w:r>
      <w:r>
        <w:rPr>
          <w:rFonts w:hint="eastAsia" w:ascii="仿宋" w:hAnsi="仿宋" w:eastAsia="仿宋"/>
          <w:sz w:val="22"/>
          <w:szCs w:val="21"/>
        </w:rPr>
        <w:t>月</w:t>
      </w:r>
      <w:r>
        <w:rPr>
          <w:rFonts w:hint="eastAsia" w:ascii="仿宋" w:hAnsi="仿宋" w:eastAsia="仿宋"/>
          <w:sz w:val="22"/>
          <w:szCs w:val="21"/>
          <w:lang w:val="en-US" w:eastAsia="zh-CN"/>
        </w:rPr>
        <w:t>30</w:t>
      </w:r>
      <w:r>
        <w:rPr>
          <w:rFonts w:hint="eastAsia" w:ascii="仿宋" w:hAnsi="仿宋" w:eastAsia="仿宋"/>
          <w:sz w:val="22"/>
          <w:szCs w:val="21"/>
        </w:rPr>
        <w:t>日17:00（北京时间）。</w:t>
      </w:r>
    </w:p>
    <w:p>
      <w:pPr>
        <w:spacing w:afterLines="50" w:line="240" w:lineRule="auto"/>
        <w:ind w:firstLine="442" w:firstLineChars="200"/>
        <w:rPr>
          <w:rFonts w:hint="eastAsia"/>
          <w:lang w:eastAsia="zh-CN"/>
        </w:rPr>
      </w:pPr>
      <w:r>
        <w:rPr>
          <w:rFonts w:hint="eastAsia" w:ascii="仿宋" w:hAnsi="仿宋" w:eastAsia="仿宋"/>
          <w:b/>
          <w:sz w:val="22"/>
          <w:szCs w:val="21"/>
        </w:rPr>
        <w:t>遴选评议时间</w:t>
      </w:r>
      <w:r>
        <w:rPr>
          <w:rFonts w:hint="eastAsia" w:ascii="仿宋" w:hAnsi="仿宋" w:eastAsia="仿宋"/>
          <w:b/>
          <w:sz w:val="22"/>
          <w:szCs w:val="21"/>
          <w:lang w:val="en-US" w:eastAsia="zh-CN"/>
        </w:rPr>
        <w:t>(暂定)</w:t>
      </w:r>
      <w:r>
        <w:rPr>
          <w:rFonts w:hint="eastAsia" w:ascii="仿宋" w:hAnsi="仿宋" w:eastAsia="仿宋"/>
          <w:b/>
          <w:sz w:val="22"/>
          <w:szCs w:val="21"/>
        </w:rPr>
        <w:t>：202</w:t>
      </w:r>
      <w:r>
        <w:rPr>
          <w:rFonts w:hint="eastAsia" w:ascii="仿宋" w:hAnsi="仿宋" w:eastAsia="仿宋"/>
          <w:b/>
          <w:sz w:val="22"/>
          <w:szCs w:val="21"/>
          <w:lang w:val="en-US" w:eastAsia="zh-CN"/>
        </w:rPr>
        <w:t>3</w:t>
      </w:r>
      <w:r>
        <w:rPr>
          <w:rFonts w:hint="eastAsia" w:ascii="仿宋" w:hAnsi="仿宋" w:eastAsia="仿宋"/>
          <w:b/>
          <w:sz w:val="22"/>
          <w:szCs w:val="21"/>
        </w:rPr>
        <w:t>年</w:t>
      </w:r>
      <w:r>
        <w:rPr>
          <w:rFonts w:hint="eastAsia" w:ascii="仿宋" w:hAnsi="仿宋" w:eastAsia="仿宋"/>
          <w:b/>
          <w:sz w:val="22"/>
          <w:szCs w:val="21"/>
          <w:lang w:val="en-US" w:eastAsia="zh-CN"/>
        </w:rPr>
        <w:t>6</w:t>
      </w:r>
      <w:r>
        <w:rPr>
          <w:rFonts w:hint="eastAsia" w:ascii="仿宋" w:hAnsi="仿宋" w:eastAsia="仿宋"/>
          <w:b/>
          <w:sz w:val="22"/>
          <w:szCs w:val="21"/>
        </w:rPr>
        <w:t>月</w:t>
      </w:r>
    </w:p>
    <w:p>
      <w:pPr>
        <w:pStyle w:val="10"/>
        <w:spacing w:afterLines="50" w:line="240" w:lineRule="auto"/>
        <w:ind w:firstLine="480"/>
        <w:rPr>
          <w:rFonts w:ascii="仿宋" w:hAnsi="仿宋" w:eastAsia="仿宋"/>
          <w:sz w:val="22"/>
          <w:szCs w:val="21"/>
        </w:rPr>
      </w:pPr>
      <w:bookmarkStart w:id="17"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7"/>
    </w:p>
    <w:p>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8" w:name="PO_采购人_3"/>
      <w:r>
        <w:rPr>
          <w:rFonts w:hint="eastAsia" w:ascii="仿宋" w:hAnsi="仿宋" w:eastAsia="仿宋"/>
          <w:sz w:val="22"/>
          <w:szCs w:val="21"/>
        </w:rPr>
        <w:t>四川省骨科医院</w:t>
      </w:r>
      <w:bookmarkEnd w:id="18"/>
    </w:p>
    <w:p>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9"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9"/>
    </w:p>
    <w:p>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 系 人：医学装备部 卢老师</w:t>
      </w:r>
    </w:p>
    <w:p>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20" w:name="PO_采购联系电话_1"/>
      <w:r>
        <w:rPr>
          <w:rFonts w:ascii="仿宋" w:hAnsi="仿宋" w:eastAsia="仿宋"/>
          <w:sz w:val="22"/>
          <w:szCs w:val="21"/>
        </w:rPr>
        <w:t>028-870</w:t>
      </w:r>
      <w:bookmarkEnd w:id="20"/>
      <w:r>
        <w:rPr>
          <w:rFonts w:hint="eastAsia" w:ascii="仿宋" w:hAnsi="仿宋" w:eastAsia="仿宋"/>
          <w:sz w:val="22"/>
          <w:szCs w:val="21"/>
        </w:rPr>
        <w:t>19027、87015226转8888</w:t>
      </w:r>
    </w:p>
    <w:p>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21" w:name="_Toc12420"/>
      <w:bookmarkStart w:id="22" w:name="_Toc12497"/>
      <w:bookmarkStart w:id="23" w:name="_Toc213396945"/>
      <w:bookmarkStart w:id="24" w:name="_Toc213396759"/>
      <w:bookmarkStart w:id="25" w:name="_Toc213397009"/>
      <w:bookmarkStart w:id="26" w:name="_Toc213496267"/>
      <w:bookmarkStart w:id="27" w:name="_Toc217446031"/>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第二章  供应商须知</w:t>
      </w:r>
      <w:bookmarkEnd w:id="21"/>
      <w:bookmarkEnd w:id="22"/>
    </w:p>
    <w:p>
      <w:pPr>
        <w:pStyle w:val="4"/>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23"/>
    <w:bookmarkEnd w:id="24"/>
    <w:bookmarkEnd w:id="25"/>
    <w:bookmarkEnd w:id="26"/>
    <w:bookmarkEnd w:id="27"/>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pPr>
              <w:pStyle w:val="42"/>
              <w:spacing w:after="0" w:line="240" w:lineRule="auto"/>
              <w:jc w:val="center"/>
              <w:rPr>
                <w:rFonts w:ascii="仿宋" w:hAnsi="仿宋" w:eastAsia="仿宋" w:cs="Times New Roman"/>
                <w:kern w:val="2"/>
                <w:sz w:val="22"/>
                <w:szCs w:val="21"/>
              </w:rPr>
            </w:pPr>
            <w:r>
              <w:rPr>
                <w:rFonts w:hint="eastAsia" w:ascii="仿宋" w:hAnsi="仿宋" w:eastAsia="仿宋"/>
                <w:sz w:val="22"/>
                <w:szCs w:val="21"/>
              </w:rPr>
              <w:t>（实质性要求）</w:t>
            </w:r>
          </w:p>
        </w:tc>
        <w:tc>
          <w:tcPr>
            <w:tcW w:w="6111" w:type="dxa"/>
            <w:tcBorders>
              <w:top w:val="single" w:color="auto" w:sz="4" w:space="0"/>
            </w:tcBorders>
          </w:tcPr>
          <w:p>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（实质性要求）</w:t>
            </w:r>
          </w:p>
        </w:tc>
        <w:tc>
          <w:tcPr>
            <w:tcW w:w="6111" w:type="dxa"/>
            <w:vAlign w:val="center"/>
          </w:tcPr>
          <w:p>
            <w:pPr>
              <w:pStyle w:val="42"/>
              <w:spacing w:after="0" w:line="240" w:lineRule="auto"/>
              <w:jc w:val="both"/>
              <w:rPr>
                <w:rFonts w:ascii="仿宋" w:hAnsi="仿宋" w:eastAsia="仿宋" w:cs="Times New Roman"/>
                <w:kern w:val="2"/>
                <w:sz w:val="22"/>
                <w:szCs w:val="21"/>
              </w:rPr>
            </w:pPr>
            <w:bookmarkStart w:id="28"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pPr>
              <w:spacing w:after="0" w:line="240" w:lineRule="auto"/>
              <w:ind w:right="105" w:rightChars="50"/>
              <w:rPr>
                <w:rFonts w:ascii="仿宋" w:hAnsi="仿宋" w:eastAsia="仿宋"/>
                <w:sz w:val="22"/>
                <w:szCs w:val="21"/>
              </w:rPr>
            </w:pPr>
            <w:bookmarkStart w:id="29"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pPr>
              <w:widowControl/>
              <w:spacing w:after="0" w:line="240" w:lineRule="auto"/>
              <w:jc w:val="left"/>
              <w:rPr>
                <w:rFonts w:ascii="仿宋" w:hAnsi="仿宋" w:eastAsia="仿宋"/>
                <w:sz w:val="22"/>
                <w:szCs w:val="21"/>
              </w:rPr>
            </w:pPr>
            <w:bookmarkStart w:id="30"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联系人：医学装备部 卢老师</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联系人：医学装备部 卢老师</w:t>
            </w:r>
          </w:p>
          <w:p>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pPr>
              <w:tabs>
                <w:tab w:val="left" w:pos="7665"/>
              </w:tabs>
              <w:spacing w:after="0" w:line="240" w:lineRule="auto"/>
              <w:rPr>
                <w:rFonts w:ascii="仿宋" w:hAnsi="仿宋" w:eastAsia="仿宋"/>
                <w:sz w:val="22"/>
                <w:szCs w:val="21"/>
              </w:rPr>
            </w:pPr>
            <w:bookmarkStart w:id="31"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31"/>
            <w:r>
              <w:rPr>
                <w:rFonts w:hint="eastAsia" w:ascii="仿宋" w:hAnsi="仿宋" w:eastAsia="仿宋"/>
                <w:sz w:val="22"/>
                <w:szCs w:val="21"/>
                <w:lang w:val="zh-CN"/>
              </w:rPr>
              <w:t>成都市武侯区大石西路1号每日大厦503办公室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pPr>
              <w:pStyle w:val="43"/>
              <w:spacing w:after="0" w:line="240" w:lineRule="auto"/>
              <w:ind w:firstLine="0" w:firstLineChars="0"/>
              <w:rPr>
                <w:rFonts w:ascii="仿宋" w:hAnsi="仿宋" w:eastAsia="仿宋"/>
                <w:sz w:val="22"/>
                <w:szCs w:val="21"/>
              </w:rPr>
            </w:pPr>
            <w:bookmarkStart w:id="32" w:name="PO_默认文件内容_30"/>
            <w:r>
              <w:rPr>
                <w:rFonts w:hint="eastAsia" w:ascii="仿宋" w:hAnsi="仿宋" w:eastAsia="仿宋"/>
                <w:sz w:val="22"/>
                <w:szCs w:val="21"/>
              </w:rPr>
              <w:t>联系人：纪委办公室（审计部）</w:t>
            </w:r>
          </w:p>
          <w:p>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32"/>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pStyle w:val="4"/>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pPr>
        <w:pStyle w:val="5"/>
        <w:spacing w:before="0" w:after="0" w:line="240" w:lineRule="auto"/>
        <w:ind w:firstLine="442" w:firstLineChars="200"/>
        <w:rPr>
          <w:rFonts w:ascii="仿宋" w:hAnsi="仿宋" w:eastAsia="仿宋"/>
          <w:sz w:val="22"/>
          <w:szCs w:val="21"/>
          <w:highlight w:val="none"/>
        </w:rPr>
      </w:pPr>
      <w:bookmarkStart w:id="33" w:name="_Toc183582205"/>
      <w:bookmarkStart w:id="34" w:name="_Toc183682342"/>
      <w:bookmarkStart w:id="35" w:name="_Toc217446034"/>
      <w:bookmarkStart w:id="36" w:name="PO_默认文件内容_19"/>
      <w:r>
        <w:rPr>
          <w:rFonts w:hint="eastAsia" w:ascii="仿宋" w:hAnsi="仿宋" w:eastAsia="仿宋"/>
          <w:sz w:val="22"/>
          <w:szCs w:val="21"/>
          <w:highlight w:val="none"/>
        </w:rPr>
        <w:t>1.</w:t>
      </w:r>
      <w:bookmarkEnd w:id="33"/>
      <w:bookmarkEnd w:id="34"/>
      <w:r>
        <w:rPr>
          <w:rFonts w:hint="eastAsia" w:ascii="仿宋" w:hAnsi="仿宋" w:eastAsia="仿宋"/>
          <w:sz w:val="22"/>
          <w:szCs w:val="21"/>
          <w:highlight w:val="none"/>
        </w:rPr>
        <w:t xml:space="preserve"> 适用范围</w:t>
      </w:r>
      <w:bookmarkEnd w:id="35"/>
    </w:p>
    <w:p>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pPr>
        <w:pStyle w:val="5"/>
        <w:spacing w:before="0" w:after="0" w:line="240" w:lineRule="auto"/>
        <w:ind w:firstLine="442" w:firstLineChars="200"/>
        <w:rPr>
          <w:rFonts w:ascii="仿宋" w:hAnsi="仿宋" w:eastAsia="仿宋"/>
          <w:sz w:val="22"/>
          <w:szCs w:val="21"/>
          <w:highlight w:val="none"/>
        </w:rPr>
      </w:pPr>
      <w:bookmarkStart w:id="37" w:name="_Toc183582206"/>
      <w:bookmarkStart w:id="38" w:name="_Toc183682343"/>
      <w:bookmarkStart w:id="39" w:name="_Toc217446035"/>
      <w:r>
        <w:rPr>
          <w:rFonts w:hint="eastAsia" w:ascii="仿宋" w:hAnsi="仿宋" w:eastAsia="仿宋"/>
          <w:sz w:val="22"/>
          <w:szCs w:val="21"/>
          <w:highlight w:val="none"/>
        </w:rPr>
        <w:t xml:space="preserve">2. </w:t>
      </w:r>
      <w:bookmarkEnd w:id="37"/>
      <w:bookmarkEnd w:id="38"/>
      <w:r>
        <w:rPr>
          <w:rFonts w:hint="eastAsia" w:ascii="仿宋" w:hAnsi="仿宋" w:eastAsia="仿宋"/>
          <w:sz w:val="22"/>
          <w:szCs w:val="21"/>
          <w:highlight w:val="none"/>
        </w:rPr>
        <w:t>有关定义</w:t>
      </w:r>
      <w:bookmarkEnd w:id="39"/>
    </w:p>
    <w:p>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6"/>
      <w:r>
        <w:rPr>
          <w:rFonts w:hint="eastAsia" w:ascii="仿宋" w:hAnsi="仿宋" w:eastAsia="仿宋"/>
          <w:sz w:val="22"/>
          <w:szCs w:val="21"/>
          <w:highlight w:val="none"/>
        </w:rPr>
        <w:t xml:space="preserve"> </w:t>
      </w:r>
      <w:bookmarkStart w:id="40" w:name="PO_采购人_4"/>
      <w:r>
        <w:rPr>
          <w:rFonts w:hint="eastAsia" w:ascii="仿宋" w:hAnsi="仿宋" w:eastAsia="仿宋"/>
          <w:b/>
          <w:bCs/>
          <w:sz w:val="22"/>
          <w:szCs w:val="21"/>
          <w:highlight w:val="none"/>
          <w:u w:val="single"/>
        </w:rPr>
        <w:t>四川省骨科医院</w:t>
      </w:r>
      <w:bookmarkEnd w:id="40"/>
      <w:r>
        <w:rPr>
          <w:rFonts w:hint="eastAsia" w:ascii="仿宋" w:hAnsi="仿宋" w:eastAsia="仿宋"/>
          <w:sz w:val="22"/>
          <w:szCs w:val="21"/>
          <w:highlight w:val="none"/>
        </w:rPr>
        <w:t>。</w:t>
      </w:r>
    </w:p>
    <w:p>
      <w:pPr>
        <w:tabs>
          <w:tab w:val="left" w:pos="7665"/>
        </w:tabs>
        <w:spacing w:after="0" w:line="240" w:lineRule="auto"/>
        <w:ind w:firstLine="440" w:firstLineChars="200"/>
        <w:rPr>
          <w:rFonts w:ascii="仿宋" w:hAnsi="仿宋" w:eastAsia="仿宋"/>
          <w:sz w:val="22"/>
          <w:szCs w:val="21"/>
          <w:highlight w:val="none"/>
        </w:rPr>
      </w:pPr>
      <w:bookmarkStart w:id="41"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pPr>
        <w:pStyle w:val="5"/>
        <w:spacing w:before="0" w:after="0" w:line="240" w:lineRule="auto"/>
        <w:ind w:firstLine="442" w:firstLineChars="200"/>
        <w:rPr>
          <w:rFonts w:ascii="仿宋" w:hAnsi="仿宋" w:eastAsia="仿宋"/>
          <w:sz w:val="22"/>
          <w:szCs w:val="21"/>
          <w:highlight w:val="none"/>
        </w:rPr>
      </w:pPr>
      <w:bookmarkStart w:id="42" w:name="_Toc217390843"/>
      <w:bookmarkStart w:id="43" w:name="_Toc183682344"/>
      <w:bookmarkStart w:id="44" w:name="_Toc183582207"/>
      <w:bookmarkStart w:id="45" w:name="_Toc217446036"/>
      <w:r>
        <w:rPr>
          <w:rFonts w:hint="eastAsia" w:ascii="仿宋" w:hAnsi="仿宋" w:eastAsia="仿宋"/>
          <w:sz w:val="22"/>
          <w:szCs w:val="21"/>
          <w:highlight w:val="none"/>
        </w:rPr>
        <w:t>3. 合格的供应商</w:t>
      </w:r>
      <w:bookmarkEnd w:id="42"/>
      <w:bookmarkEnd w:id="43"/>
      <w:bookmarkEnd w:id="44"/>
      <w:bookmarkEnd w:id="45"/>
    </w:p>
    <w:p>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41"/>
    <w:p>
      <w:pPr>
        <w:pStyle w:val="5"/>
        <w:spacing w:before="0" w:after="0" w:line="240" w:lineRule="auto"/>
        <w:ind w:firstLine="442" w:firstLineChars="200"/>
        <w:rPr>
          <w:rFonts w:ascii="仿宋" w:hAnsi="仿宋" w:eastAsia="仿宋"/>
          <w:sz w:val="22"/>
          <w:szCs w:val="21"/>
          <w:highlight w:val="none"/>
        </w:rPr>
      </w:pPr>
      <w:bookmarkStart w:id="46" w:name="_Toc183682345"/>
      <w:bookmarkStart w:id="47" w:name="_Toc217446037"/>
      <w:bookmarkStart w:id="48" w:name="_Toc183582208"/>
      <w:bookmarkStart w:id="49" w:name="PO_默认文件内容_16"/>
      <w:r>
        <w:rPr>
          <w:rFonts w:hint="eastAsia" w:ascii="仿宋" w:hAnsi="仿宋" w:eastAsia="仿宋"/>
          <w:sz w:val="22"/>
          <w:szCs w:val="21"/>
          <w:highlight w:val="none"/>
        </w:rPr>
        <w:t>4. 遴选费用</w:t>
      </w:r>
      <w:bookmarkEnd w:id="46"/>
      <w:bookmarkEnd w:id="47"/>
      <w:bookmarkEnd w:id="48"/>
      <w:r>
        <w:rPr>
          <w:rFonts w:hint="eastAsia" w:ascii="仿宋" w:hAnsi="仿宋" w:eastAsia="仿宋"/>
          <w:sz w:val="22"/>
          <w:szCs w:val="21"/>
          <w:highlight w:val="none"/>
        </w:rPr>
        <w:t>（实质性要求）</w:t>
      </w:r>
    </w:p>
    <w:p>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pPr>
        <w:pStyle w:val="5"/>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充分、公平竞争保障措施（实质性要求）</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提供相同品牌产品的不同供应商参加同一合同项下遴选的，以其中通过资格审查、符合性审查且报价最低的参加评议；报价相同的，由采购人采取随机抽取方式确定一个参加评议的供应商，其他遴选无效。</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pPr>
        <w:keepNext w:val="0"/>
        <w:keepLines w:val="0"/>
        <w:pageBreakBefore w:val="0"/>
        <w:widowControl/>
        <w:suppressLineNumbers w:val="0"/>
        <w:kinsoku/>
        <w:wordWrap/>
        <w:overflowPunct/>
        <w:topLinePunct w:val="0"/>
        <w:autoSpaceDE/>
        <w:autoSpaceDN/>
        <w:bidi w:val="0"/>
        <w:snapToGrid/>
        <w:spacing w:line="300" w:lineRule="exact"/>
        <w:ind w:firstLine="440" w:firstLineChars="200"/>
        <w:jc w:val="left"/>
        <w:rPr>
          <w:rFonts w:hint="default" w:ascii="仿宋" w:hAnsi="仿宋" w:eastAsia="仿宋" w:cs="仿宋"/>
          <w:sz w:val="22"/>
          <w:szCs w:val="22"/>
          <w:highlight w:val="none"/>
          <w:lang w:val="en-US"/>
        </w:rPr>
      </w:pPr>
      <w:r>
        <w:rPr>
          <w:rFonts w:hint="eastAsia" w:ascii="仿宋" w:hAnsi="仿宋" w:eastAsia="仿宋"/>
          <w:bCs/>
          <w:sz w:val="22"/>
          <w:szCs w:val="21"/>
          <w:highlight w:val="none"/>
        </w:rPr>
        <w:t>通过资格审查、符合性审查的不同供应商</w:t>
      </w:r>
      <w:r>
        <w:rPr>
          <w:rFonts w:hint="eastAsia" w:ascii="仿宋" w:hAnsi="仿宋" w:eastAsia="仿宋"/>
          <w:bCs/>
          <w:sz w:val="22"/>
          <w:szCs w:val="21"/>
          <w:highlight w:val="none"/>
          <w:lang w:val="en-US" w:eastAsia="zh-CN"/>
        </w:rPr>
        <w:t>,</w:t>
      </w:r>
      <w:r>
        <w:rPr>
          <w:rFonts w:hint="eastAsia" w:ascii="仿宋" w:hAnsi="仿宋" w:eastAsia="仿宋" w:cs="仿宋"/>
          <w:color w:val="000000"/>
          <w:kern w:val="0"/>
          <w:sz w:val="22"/>
          <w:szCs w:val="22"/>
          <w:highlight w:val="none"/>
          <w:lang w:val="en-US" w:eastAsia="zh-CN" w:bidi="ar"/>
        </w:rPr>
        <w:t>采用综合评分法，评审结果按评审后得分由高到低顺序排列；得分相同的，按投标报价品种数量由高到低顺序排列；得分相同且投标报价品种数量相同的并列，按照投标报价由低到高排列。按照医院要求需要选择“一品双规”或“一品多规”的产品</w:t>
      </w:r>
      <w:bookmarkStart w:id="197" w:name="_GoBack"/>
      <w:bookmarkEnd w:id="197"/>
      <w:r>
        <w:rPr>
          <w:rFonts w:hint="eastAsia" w:ascii="仿宋" w:hAnsi="仿宋" w:eastAsia="仿宋" w:cs="仿宋"/>
          <w:color w:val="000000"/>
          <w:kern w:val="0"/>
          <w:sz w:val="22"/>
          <w:szCs w:val="22"/>
          <w:highlight w:val="none"/>
          <w:lang w:val="en-US" w:eastAsia="zh-CN" w:bidi="ar"/>
        </w:rPr>
        <w:t>按照排序确定供应商。</w:t>
      </w:r>
    </w:p>
    <w:p>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pPr>
        <w:pStyle w:val="40"/>
        <w:spacing w:after="0" w:line="240" w:lineRule="auto"/>
        <w:ind w:left="1" w:firstLine="440" w:firstLineChars="200"/>
        <w:rPr>
          <w:rFonts w:hint="eastAsia" w:ascii="仿宋" w:hAnsi="仿宋" w:eastAsia="仿宋"/>
          <w:sz w:val="22"/>
          <w:szCs w:val="21"/>
        </w:rPr>
      </w:pPr>
    </w:p>
    <w:p>
      <w:pPr>
        <w:pStyle w:val="4"/>
        <w:spacing w:before="0" w:after="0" w:line="240" w:lineRule="auto"/>
        <w:jc w:val="center"/>
        <w:rPr>
          <w:rFonts w:ascii="仿宋" w:hAnsi="仿宋" w:eastAsia="仿宋"/>
          <w:bCs w:val="0"/>
          <w:sz w:val="22"/>
          <w:szCs w:val="21"/>
        </w:rPr>
      </w:pPr>
      <w:bookmarkStart w:id="50" w:name="_Toc183582209"/>
      <w:bookmarkStart w:id="51" w:name="_Toc89075875"/>
      <w:bookmarkStart w:id="52" w:name="_Toc183682346"/>
      <w:bookmarkStart w:id="53" w:name="_Toc217446038"/>
      <w:bookmarkStart w:id="54" w:name="_Toc77400779"/>
      <w:r>
        <w:rPr>
          <w:rFonts w:hint="eastAsia" w:ascii="仿宋" w:hAnsi="仿宋" w:eastAsia="仿宋"/>
          <w:bCs w:val="0"/>
          <w:sz w:val="22"/>
          <w:szCs w:val="21"/>
        </w:rPr>
        <w:t>三、遴选评议文件</w:t>
      </w:r>
      <w:bookmarkEnd w:id="50"/>
      <w:bookmarkEnd w:id="51"/>
      <w:bookmarkEnd w:id="52"/>
      <w:bookmarkEnd w:id="53"/>
      <w:bookmarkEnd w:id="54"/>
    </w:p>
    <w:p>
      <w:pPr>
        <w:pStyle w:val="5"/>
        <w:spacing w:before="0" w:after="0" w:line="240" w:lineRule="auto"/>
        <w:ind w:firstLine="442" w:firstLineChars="200"/>
        <w:rPr>
          <w:rFonts w:ascii="仿宋" w:hAnsi="仿宋" w:eastAsia="仿宋"/>
          <w:sz w:val="22"/>
          <w:szCs w:val="21"/>
        </w:rPr>
      </w:pPr>
      <w:bookmarkStart w:id="55" w:name="_Toc183582210"/>
      <w:bookmarkStart w:id="56" w:name="_Toc183682347"/>
      <w:bookmarkStart w:id="57" w:name="_Toc217446039"/>
      <w:r>
        <w:rPr>
          <w:rFonts w:hint="eastAsia" w:ascii="仿宋" w:hAnsi="仿宋" w:eastAsia="仿宋"/>
          <w:sz w:val="22"/>
          <w:szCs w:val="21"/>
        </w:rPr>
        <w:t>6．遴选评议文件的构成</w:t>
      </w:r>
      <w:bookmarkEnd w:id="55"/>
      <w:bookmarkEnd w:id="56"/>
      <w:bookmarkEnd w:id="57"/>
    </w:p>
    <w:p>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pPr>
        <w:pStyle w:val="5"/>
        <w:spacing w:before="0" w:after="0" w:line="240" w:lineRule="auto"/>
        <w:ind w:firstLine="442" w:firstLineChars="200"/>
        <w:rPr>
          <w:rFonts w:ascii="仿宋" w:hAnsi="仿宋" w:eastAsia="仿宋"/>
          <w:sz w:val="22"/>
          <w:szCs w:val="21"/>
        </w:rPr>
      </w:pPr>
      <w:bookmarkStart w:id="58" w:name="_Toc183682348"/>
      <w:bookmarkStart w:id="59" w:name="_Toc183582211"/>
      <w:bookmarkStart w:id="60" w:name="_Toc217446040"/>
      <w:r>
        <w:rPr>
          <w:rFonts w:hint="eastAsia" w:ascii="仿宋" w:hAnsi="仿宋" w:eastAsia="仿宋"/>
          <w:sz w:val="22"/>
          <w:szCs w:val="21"/>
        </w:rPr>
        <w:t>7. 遴选评议文件的澄清</w:t>
      </w:r>
      <w:bookmarkEnd w:id="58"/>
      <w:bookmarkEnd w:id="59"/>
      <w:r>
        <w:rPr>
          <w:rFonts w:hint="eastAsia" w:ascii="仿宋" w:hAnsi="仿宋" w:eastAsia="仿宋"/>
          <w:sz w:val="22"/>
          <w:szCs w:val="21"/>
        </w:rPr>
        <w:t>和修改</w:t>
      </w:r>
      <w:bookmarkEnd w:id="60"/>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pPr>
        <w:pStyle w:val="5"/>
        <w:spacing w:before="0" w:after="0" w:line="240" w:lineRule="auto"/>
        <w:ind w:firstLine="442" w:firstLineChars="200"/>
        <w:rPr>
          <w:rFonts w:ascii="仿宋" w:hAnsi="仿宋" w:eastAsia="仿宋"/>
          <w:sz w:val="22"/>
          <w:szCs w:val="21"/>
        </w:rPr>
      </w:pPr>
      <w:bookmarkStart w:id="61" w:name="_Toc208848971"/>
      <w:bookmarkStart w:id="62" w:name="_Toc217446041"/>
      <w:r>
        <w:rPr>
          <w:rFonts w:hint="eastAsia" w:ascii="仿宋" w:hAnsi="仿宋" w:eastAsia="仿宋"/>
          <w:sz w:val="22"/>
          <w:szCs w:val="21"/>
        </w:rPr>
        <w:t>8. 答疑会和现场考察</w:t>
      </w:r>
      <w:bookmarkEnd w:id="61"/>
      <w:bookmarkEnd w:id="62"/>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9"/>
    <w:p>
      <w:pPr>
        <w:tabs>
          <w:tab w:val="left" w:pos="7665"/>
        </w:tabs>
        <w:spacing w:after="0" w:line="240" w:lineRule="auto"/>
        <w:ind w:firstLine="440" w:firstLineChars="200"/>
        <w:rPr>
          <w:rFonts w:ascii="仿宋" w:hAnsi="仿宋" w:eastAsia="仿宋"/>
          <w:sz w:val="22"/>
          <w:szCs w:val="21"/>
        </w:rPr>
      </w:pPr>
      <w:bookmarkStart w:id="63" w:name="PO_默认文件内容_18"/>
      <w:r>
        <w:rPr>
          <w:rFonts w:hint="eastAsia" w:ascii="仿宋" w:hAnsi="仿宋" w:eastAsia="仿宋"/>
          <w:sz w:val="22"/>
          <w:szCs w:val="21"/>
        </w:rPr>
        <w:t>8.2 供应商考察现场所发生的一切费用由供应商自己承担。</w:t>
      </w:r>
    </w:p>
    <w:p>
      <w:pPr>
        <w:pStyle w:val="4"/>
        <w:spacing w:before="0" w:after="0" w:line="240" w:lineRule="auto"/>
        <w:jc w:val="center"/>
        <w:rPr>
          <w:rFonts w:ascii="仿宋" w:hAnsi="仿宋" w:eastAsia="仿宋"/>
          <w:bCs w:val="0"/>
          <w:sz w:val="22"/>
          <w:szCs w:val="21"/>
        </w:rPr>
      </w:pPr>
      <w:bookmarkStart w:id="64" w:name="_Toc183682351"/>
      <w:bookmarkStart w:id="65" w:name="_Toc89075876"/>
      <w:bookmarkStart w:id="66" w:name="_Toc77400780"/>
      <w:bookmarkStart w:id="67" w:name="_Toc217446042"/>
      <w:bookmarkStart w:id="68" w:name="_Toc183582214"/>
      <w:r>
        <w:rPr>
          <w:rFonts w:hint="eastAsia" w:ascii="仿宋" w:hAnsi="仿宋" w:eastAsia="仿宋"/>
          <w:bCs w:val="0"/>
          <w:sz w:val="22"/>
          <w:szCs w:val="21"/>
        </w:rPr>
        <w:t>四、遴选评议文件</w:t>
      </w:r>
      <w:bookmarkEnd w:id="64"/>
      <w:bookmarkEnd w:id="65"/>
      <w:bookmarkEnd w:id="66"/>
      <w:bookmarkEnd w:id="67"/>
      <w:bookmarkEnd w:id="68"/>
    </w:p>
    <w:p>
      <w:pPr>
        <w:pStyle w:val="5"/>
        <w:spacing w:before="0" w:after="0" w:line="240" w:lineRule="auto"/>
        <w:ind w:firstLine="442" w:firstLineChars="200"/>
        <w:rPr>
          <w:rFonts w:ascii="仿宋" w:hAnsi="仿宋" w:eastAsia="仿宋"/>
          <w:bCs w:val="0"/>
          <w:sz w:val="22"/>
          <w:szCs w:val="21"/>
        </w:rPr>
      </w:pPr>
      <w:bookmarkStart w:id="69" w:name="_Toc217446043"/>
      <w:bookmarkStart w:id="70" w:name="_Toc183582215"/>
      <w:bookmarkStart w:id="71" w:name="_Toc183682352"/>
      <w:r>
        <w:rPr>
          <w:rFonts w:hint="eastAsia" w:ascii="仿宋" w:hAnsi="仿宋" w:eastAsia="仿宋"/>
          <w:bCs w:val="0"/>
          <w:sz w:val="22"/>
          <w:szCs w:val="21"/>
        </w:rPr>
        <w:t>9．遴选评议文件的语言</w:t>
      </w:r>
      <w:bookmarkEnd w:id="69"/>
      <w:bookmarkEnd w:id="70"/>
      <w:bookmarkEnd w:id="71"/>
      <w:r>
        <w:rPr>
          <w:rFonts w:hint="eastAsia" w:ascii="仿宋" w:hAnsi="仿宋" w:eastAsia="仿宋"/>
          <w:sz w:val="22"/>
          <w:szCs w:val="21"/>
        </w:rPr>
        <w:t>（实质性要求）</w:t>
      </w:r>
    </w:p>
    <w:p>
      <w:pPr>
        <w:tabs>
          <w:tab w:val="left" w:pos="1134"/>
        </w:tabs>
        <w:spacing w:after="0" w:line="240" w:lineRule="auto"/>
        <w:ind w:firstLine="440" w:firstLineChars="200"/>
        <w:jc w:val="left"/>
        <w:rPr>
          <w:rFonts w:ascii="仿宋" w:hAnsi="仿宋" w:eastAsia="仿宋"/>
          <w:sz w:val="22"/>
          <w:szCs w:val="21"/>
        </w:rPr>
      </w:pPr>
      <w:bookmarkStart w:id="72" w:name="_Toc183582216"/>
      <w:bookmarkStart w:id="73" w:name="_Toc183682353"/>
      <w:bookmarkStart w:id="74" w:name="_Toc217446044"/>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10．计量单位</w:t>
      </w:r>
      <w:bookmarkEnd w:id="72"/>
      <w:bookmarkEnd w:id="73"/>
      <w:bookmarkEnd w:id="74"/>
      <w:r>
        <w:rPr>
          <w:rFonts w:hint="eastAsia" w:ascii="仿宋" w:hAnsi="仿宋" w:eastAsia="仿宋"/>
          <w:sz w:val="22"/>
          <w:szCs w:val="21"/>
        </w:rPr>
        <w:t>（实质性要求）</w:t>
      </w:r>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pPr>
        <w:pStyle w:val="5"/>
        <w:spacing w:before="0" w:after="0" w:line="240" w:lineRule="auto"/>
        <w:ind w:firstLine="442" w:firstLineChars="200"/>
        <w:rPr>
          <w:rFonts w:ascii="仿宋" w:hAnsi="仿宋" w:eastAsia="仿宋"/>
          <w:sz w:val="22"/>
          <w:szCs w:val="21"/>
        </w:rPr>
      </w:pPr>
      <w:bookmarkStart w:id="75" w:name="_Toc217446045"/>
      <w:r>
        <w:rPr>
          <w:rFonts w:hint="eastAsia" w:ascii="仿宋" w:hAnsi="仿宋" w:eastAsia="仿宋"/>
          <w:sz w:val="22"/>
          <w:szCs w:val="21"/>
        </w:rPr>
        <w:t>11. 遴选货币</w:t>
      </w:r>
      <w:bookmarkEnd w:id="75"/>
      <w:r>
        <w:rPr>
          <w:rFonts w:hint="eastAsia" w:ascii="仿宋" w:hAnsi="仿宋" w:eastAsia="仿宋"/>
          <w:sz w:val="22"/>
          <w:szCs w:val="21"/>
        </w:rPr>
        <w:t>（实质性要求）</w:t>
      </w:r>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pPr>
        <w:pStyle w:val="5"/>
        <w:spacing w:before="0" w:after="0" w:line="240" w:lineRule="auto"/>
        <w:ind w:firstLine="442" w:firstLineChars="200"/>
        <w:rPr>
          <w:rFonts w:ascii="仿宋" w:hAnsi="仿宋" w:eastAsia="仿宋"/>
          <w:sz w:val="22"/>
          <w:szCs w:val="21"/>
        </w:rPr>
      </w:pPr>
      <w:bookmarkStart w:id="76" w:name="_Toc217446046"/>
      <w:r>
        <w:rPr>
          <w:rFonts w:hint="eastAsia" w:ascii="仿宋" w:hAnsi="仿宋" w:eastAsia="仿宋"/>
          <w:sz w:val="22"/>
          <w:szCs w:val="21"/>
        </w:rPr>
        <w:t>12. 联合体遴选</w:t>
      </w:r>
      <w:bookmarkEnd w:id="76"/>
    </w:p>
    <w:p>
      <w:pPr>
        <w:spacing w:after="0" w:line="240" w:lineRule="auto"/>
        <w:ind w:firstLine="431" w:firstLineChars="196"/>
        <w:rPr>
          <w:rFonts w:ascii="仿宋" w:hAnsi="仿宋" w:eastAsia="仿宋"/>
          <w:sz w:val="22"/>
          <w:szCs w:val="21"/>
        </w:rPr>
      </w:pPr>
      <w:bookmarkStart w:id="77" w:name="_Toc217446047"/>
      <w:r>
        <w:rPr>
          <w:rFonts w:hint="eastAsia" w:ascii="仿宋" w:hAnsi="仿宋" w:eastAsia="仿宋"/>
          <w:sz w:val="22"/>
          <w:szCs w:val="21"/>
        </w:rPr>
        <w:t>本次遴选各医用耗材不允许联合体遴选。</w:t>
      </w:r>
    </w:p>
    <w:bookmarkEnd w:id="77"/>
    <w:p>
      <w:pPr>
        <w:pStyle w:val="5"/>
        <w:spacing w:before="0" w:after="0" w:line="240" w:lineRule="auto"/>
        <w:ind w:firstLine="442" w:firstLineChars="200"/>
        <w:rPr>
          <w:rFonts w:ascii="仿宋" w:hAnsi="仿宋" w:eastAsia="仿宋"/>
          <w:sz w:val="22"/>
          <w:szCs w:val="21"/>
        </w:rPr>
      </w:pPr>
      <w:bookmarkStart w:id="78" w:name="_Toc183582217"/>
      <w:bookmarkStart w:id="79" w:name="_Toc183682354"/>
      <w:bookmarkStart w:id="80" w:name="_Toc308164798"/>
      <w:bookmarkStart w:id="81" w:name="_Toc217446048"/>
      <w:r>
        <w:rPr>
          <w:rFonts w:hint="eastAsia" w:ascii="仿宋" w:hAnsi="仿宋" w:eastAsia="仿宋"/>
          <w:sz w:val="22"/>
          <w:szCs w:val="21"/>
        </w:rPr>
        <w:t>13．遴选评议文件的组成</w:t>
      </w:r>
      <w:bookmarkEnd w:id="78"/>
      <w:bookmarkEnd w:id="79"/>
      <w:bookmarkEnd w:id="80"/>
      <w:bookmarkEnd w:id="81"/>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”（如涉及）。 </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sz w:val="22"/>
          <w:szCs w:val="21"/>
        </w:rPr>
        <w:t>（实质性要求）</w:t>
      </w:r>
      <w:r>
        <w:rPr>
          <w:rFonts w:hint="eastAsia" w:ascii="仿宋" w:hAnsi="仿宋" w:eastAsia="仿宋"/>
          <w:sz w:val="22"/>
          <w:szCs w:val="21"/>
        </w:rPr>
        <w:t>。</w:t>
      </w:r>
    </w:p>
    <w:p>
      <w:pPr>
        <w:spacing w:after="0" w:line="240" w:lineRule="auto"/>
        <w:ind w:left="2" w:firstLine="330" w:firstLineChars="150"/>
        <w:rPr>
          <w:rFonts w:ascii="仿宋" w:hAnsi="仿宋" w:eastAsia="仿宋"/>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在本次遴选之前一周年内，供应商本次遴选中对同一品牌同一型号相同配置的产品报价与其在中国境内其他地方的最低报价比例不得高于20%，挂网产品不得高于四川省药械监督及价格监管平台当前最低价，四川省或国家带量产品不得高于中选价格</w:t>
      </w:r>
      <w:r>
        <w:rPr>
          <w:rFonts w:hint="eastAsia" w:ascii="宋体" w:hAnsi="宋体" w:eastAsia="宋体" w:cs="宋体"/>
          <w:b/>
          <w:bCs/>
          <w:sz w:val="22"/>
          <w:szCs w:val="21"/>
        </w:rPr>
        <w:t>（实质性要求）</w:t>
      </w:r>
      <w:r>
        <w:rPr>
          <w:rFonts w:hint="eastAsia" w:ascii="仿宋" w:hAnsi="仿宋" w:eastAsia="仿宋"/>
          <w:sz w:val="22"/>
          <w:szCs w:val="21"/>
        </w:rPr>
        <w:t>。</w:t>
      </w:r>
    </w:p>
    <w:p>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（二）商务部分。</w:t>
      </w:r>
      <w:r>
        <w:rPr>
          <w:rFonts w:hint="eastAsia" w:ascii="仿宋" w:hAnsi="仿宋" w:eastAsia="仿宋"/>
          <w:sz w:val="22"/>
          <w:szCs w:val="21"/>
        </w:rPr>
        <w:t>供应商按照遴选评议文件要求提供的有关文件及优惠承诺。包括以下内容（如涉及）：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（1）声明函、承诺函；；</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）证明供应商业绩和荣誉的有关材料复印件；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3</w:t>
      </w:r>
      <w:r>
        <w:rPr>
          <w:rFonts w:hint="eastAsia" w:ascii="仿宋" w:hAnsi="仿宋" w:eastAsia="仿宋"/>
          <w:sz w:val="22"/>
          <w:szCs w:val="21"/>
        </w:rPr>
        <w:t>）商务应答表；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4</w:t>
      </w:r>
      <w:r>
        <w:rPr>
          <w:rFonts w:hint="eastAsia" w:ascii="仿宋" w:hAnsi="仿宋" w:eastAsia="仿宋"/>
          <w:sz w:val="22"/>
          <w:szCs w:val="21"/>
        </w:rPr>
        <w:t>）其他供应商认为需要提供的文件和资料。</w:t>
      </w:r>
    </w:p>
    <w:p>
      <w:pPr>
        <w:spacing w:after="0" w:line="240" w:lineRule="auto"/>
        <w:ind w:firstLine="442" w:firstLineChars="200"/>
        <w:rPr>
          <w:rFonts w:ascii="仿宋" w:hAnsi="仿宋" w:eastAsia="仿宋"/>
          <w:b/>
          <w:bCs/>
          <w:sz w:val="22"/>
          <w:szCs w:val="21"/>
        </w:rPr>
      </w:pPr>
      <w:r>
        <w:rPr>
          <w:rFonts w:hint="eastAsia" w:ascii="仿宋" w:hAnsi="仿宋" w:eastAsia="仿宋"/>
          <w:b/>
          <w:sz w:val="22"/>
          <w:szCs w:val="21"/>
        </w:rPr>
        <w:t>（三）售后服务。</w:t>
      </w:r>
      <w:r>
        <w:rPr>
          <w:rFonts w:hint="eastAsia" w:ascii="仿宋" w:hAnsi="仿宋" w:eastAsia="仿宋"/>
          <w:sz w:val="22"/>
          <w:szCs w:val="21"/>
        </w:rPr>
        <w:t>供应商按照遴选评议文件中售后服务要求作出的积极响应和承诺。包括以下内容（如涉及）：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（1）产品生产厂家或供应商设立的售后服务机构网点清单、服务电话和人员名单；</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pPr>
        <w:spacing w:after="0" w:line="240" w:lineRule="auto"/>
        <w:ind w:firstLine="440" w:firstLineChars="200"/>
      </w:pPr>
      <w:r>
        <w:rPr>
          <w:rFonts w:hint="eastAsia" w:ascii="仿宋" w:hAnsi="仿宋" w:eastAsia="仿宋"/>
          <w:sz w:val="22"/>
          <w:szCs w:val="21"/>
        </w:rPr>
        <w:t>（3）其他有利于用户的服务承诺。</w:t>
      </w:r>
    </w:p>
    <w:p>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（四）其他部分。</w:t>
      </w:r>
      <w:r>
        <w:rPr>
          <w:rFonts w:hint="eastAsia" w:ascii="仿宋" w:hAnsi="仿宋" w:eastAsia="仿宋"/>
          <w:bCs/>
          <w:sz w:val="22"/>
          <w:szCs w:val="21"/>
        </w:rPr>
        <w:t>供应商按照遴选评议文件要求作出的其他应答和承诺。</w:t>
      </w:r>
    </w:p>
    <w:p>
      <w:pPr>
        <w:pStyle w:val="5"/>
        <w:tabs>
          <w:tab w:val="left" w:pos="3480"/>
        </w:tabs>
        <w:spacing w:before="0" w:after="0" w:line="240" w:lineRule="auto"/>
        <w:ind w:firstLine="442" w:firstLineChars="200"/>
        <w:rPr>
          <w:rFonts w:ascii="仿宋" w:hAnsi="仿宋" w:eastAsia="仿宋"/>
          <w:sz w:val="22"/>
          <w:szCs w:val="21"/>
        </w:rPr>
      </w:pPr>
      <w:bookmarkStart w:id="82" w:name="_Toc183682355"/>
      <w:bookmarkStart w:id="83" w:name="_Toc308164799"/>
      <w:bookmarkStart w:id="84" w:name="_Toc217446049"/>
      <w:bookmarkStart w:id="85" w:name="_Toc183582218"/>
      <w:r>
        <w:rPr>
          <w:rFonts w:hint="eastAsia" w:ascii="仿宋" w:hAnsi="仿宋" w:eastAsia="仿宋"/>
          <w:sz w:val="22"/>
          <w:szCs w:val="21"/>
        </w:rPr>
        <w:t>15．遴选评议文件格式</w:t>
      </w:r>
      <w:bookmarkEnd w:id="82"/>
      <w:bookmarkEnd w:id="83"/>
      <w:bookmarkEnd w:id="84"/>
      <w:bookmarkEnd w:id="85"/>
    </w:p>
    <w:p>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pPr>
        <w:pStyle w:val="5"/>
        <w:spacing w:before="0" w:after="0" w:line="240" w:lineRule="auto"/>
        <w:ind w:firstLine="442" w:firstLineChars="200"/>
        <w:rPr>
          <w:rFonts w:ascii="仿宋" w:hAnsi="仿宋" w:eastAsia="仿宋"/>
          <w:sz w:val="22"/>
          <w:szCs w:val="21"/>
        </w:rPr>
      </w:pPr>
      <w:bookmarkStart w:id="86" w:name="_Toc183682360"/>
      <w:bookmarkStart w:id="87" w:name="_Toc308164800"/>
      <w:bookmarkStart w:id="88" w:name="_Toc183582223"/>
      <w:bookmarkStart w:id="89" w:name="_Toc217446050"/>
      <w:r>
        <w:rPr>
          <w:rFonts w:hint="eastAsia" w:ascii="仿宋" w:hAnsi="仿宋" w:eastAsia="仿宋"/>
          <w:bCs w:val="0"/>
          <w:sz w:val="22"/>
          <w:szCs w:val="21"/>
        </w:rPr>
        <w:t>16．遴选保证金</w:t>
      </w:r>
      <w:bookmarkEnd w:id="86"/>
      <w:bookmarkEnd w:id="87"/>
      <w:bookmarkEnd w:id="88"/>
      <w:bookmarkEnd w:id="89"/>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pPr>
        <w:pStyle w:val="5"/>
        <w:spacing w:before="0" w:after="0" w:line="240" w:lineRule="auto"/>
        <w:ind w:firstLine="442" w:firstLineChars="200"/>
        <w:rPr>
          <w:rFonts w:ascii="仿宋" w:hAnsi="仿宋" w:eastAsia="仿宋"/>
          <w:bCs w:val="0"/>
          <w:sz w:val="22"/>
          <w:szCs w:val="21"/>
          <w:highlight w:val="none"/>
        </w:rPr>
      </w:pPr>
      <w:bookmarkStart w:id="90" w:name="_Toc217446051"/>
      <w:bookmarkStart w:id="91" w:name="_Toc183582224"/>
      <w:bookmarkStart w:id="92" w:name="_Toc183682361"/>
      <w:bookmarkStart w:id="93" w:name="_Toc308164801"/>
      <w:r>
        <w:rPr>
          <w:rFonts w:hint="eastAsia" w:ascii="仿宋" w:hAnsi="仿宋" w:eastAsia="仿宋"/>
          <w:bCs w:val="0"/>
          <w:sz w:val="22"/>
          <w:szCs w:val="21"/>
          <w:highlight w:val="none"/>
        </w:rPr>
        <w:t>17．遴选有效期</w:t>
      </w:r>
      <w:bookmarkEnd w:id="90"/>
      <w:bookmarkEnd w:id="91"/>
      <w:bookmarkEnd w:id="92"/>
      <w:bookmarkEnd w:id="93"/>
      <w:r>
        <w:rPr>
          <w:rFonts w:hint="eastAsia" w:ascii="仿宋" w:hAnsi="仿宋" w:eastAsia="仿宋"/>
          <w:sz w:val="22"/>
          <w:szCs w:val="21"/>
          <w:highlight w:val="none"/>
        </w:rPr>
        <w:t>（实质性要求）</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17.1 本项目遴选</w:t>
      </w:r>
      <w:r>
        <w:rPr>
          <w:rFonts w:hint="eastAsia" w:ascii="仿宋" w:hAnsi="仿宋" w:eastAsia="仿宋"/>
          <w:sz w:val="22"/>
          <w:szCs w:val="21"/>
          <w:highlight w:val="none"/>
          <w:lang w:eastAsia="zh-CN"/>
        </w:rPr>
        <w:t>评议价格</w:t>
      </w:r>
      <w:r>
        <w:rPr>
          <w:rFonts w:hint="eastAsia" w:ascii="仿宋" w:hAnsi="仿宋" w:eastAsia="仿宋"/>
          <w:sz w:val="22"/>
          <w:szCs w:val="21"/>
          <w:highlight w:val="none"/>
        </w:rPr>
        <w:t>有效期为遴选</w:t>
      </w:r>
      <w:r>
        <w:rPr>
          <w:rFonts w:hint="eastAsia" w:ascii="仿宋" w:hAnsi="仿宋" w:eastAsia="仿宋"/>
          <w:sz w:val="22"/>
          <w:szCs w:val="21"/>
          <w:highlight w:val="none"/>
          <w:lang w:eastAsia="zh-CN"/>
        </w:rPr>
        <w:t>评议</w:t>
      </w:r>
      <w:r>
        <w:rPr>
          <w:rFonts w:hint="eastAsia" w:ascii="仿宋" w:hAnsi="仿宋" w:eastAsia="仿宋"/>
          <w:sz w:val="22"/>
          <w:szCs w:val="21"/>
          <w:highlight w:val="none"/>
        </w:rPr>
        <w:t>截止时间届满后</w:t>
      </w:r>
      <w:r>
        <w:rPr>
          <w:rFonts w:hint="eastAsia" w:ascii="仿宋" w:hAnsi="仿宋" w:eastAsia="仿宋"/>
          <w:b/>
          <w:bCs/>
          <w:sz w:val="22"/>
          <w:szCs w:val="21"/>
          <w:highlight w:val="none"/>
        </w:rPr>
        <w:t>90</w:t>
      </w:r>
      <w:r>
        <w:rPr>
          <w:rFonts w:hint="eastAsia" w:ascii="仿宋" w:hAnsi="仿宋" w:eastAsia="仿宋"/>
          <w:sz w:val="22"/>
          <w:szCs w:val="21"/>
          <w:highlight w:val="none"/>
        </w:rPr>
        <w:t>天（有效期从提交遴选评议文件的截止之日起算）。供应商遴选评议文件中必须载明遴选有效期，遴选评议文件中载明的遴选有效期可以长于遴选评议文件规定的期限，但不得短于遴选评议文件规定的期限。否则，其遴选评议文件将作为无效遴选处理。</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pPr>
        <w:pStyle w:val="5"/>
        <w:spacing w:before="0" w:after="0" w:line="240" w:lineRule="auto"/>
        <w:ind w:firstLine="442" w:firstLineChars="200"/>
        <w:rPr>
          <w:rFonts w:ascii="仿宋" w:hAnsi="仿宋" w:eastAsia="仿宋"/>
          <w:bCs w:val="0"/>
          <w:sz w:val="22"/>
          <w:szCs w:val="21"/>
        </w:rPr>
      </w:pPr>
      <w:bookmarkStart w:id="94" w:name="_Toc183682362"/>
      <w:bookmarkStart w:id="95" w:name="_Toc183582225"/>
      <w:bookmarkStart w:id="96" w:name="_Toc217446052"/>
      <w:bookmarkStart w:id="97" w:name="_Toc308164802"/>
      <w:r>
        <w:rPr>
          <w:rFonts w:hint="eastAsia" w:ascii="仿宋" w:hAnsi="仿宋" w:eastAsia="仿宋"/>
          <w:bCs w:val="0"/>
          <w:sz w:val="22"/>
          <w:szCs w:val="21"/>
        </w:rPr>
        <w:t>18．遴选评议文件的印制和签署</w:t>
      </w:r>
      <w:bookmarkEnd w:id="94"/>
      <w:bookmarkEnd w:id="95"/>
      <w:bookmarkEnd w:id="96"/>
      <w:bookmarkEnd w:id="97"/>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w:t>
      </w:r>
      <w:r>
        <w:rPr>
          <w:rFonts w:hint="eastAsia" w:ascii="仿宋" w:hAnsi="仿宋" w:eastAsia="仿宋"/>
          <w:bCs/>
          <w:sz w:val="22"/>
          <w:szCs w:val="21"/>
          <w:lang w:val="en-US" w:eastAsia="zh-CN"/>
        </w:rPr>
        <w:t>1</w:t>
      </w:r>
      <w:r>
        <w:rPr>
          <w:rFonts w:hint="eastAsia" w:ascii="仿宋" w:hAnsi="仿宋" w:eastAsia="仿宋"/>
          <w:bCs/>
          <w:sz w:val="22"/>
          <w:szCs w:val="21"/>
        </w:rPr>
        <w:t>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pPr>
        <w:tabs>
          <w:tab w:val="left" w:pos="1080"/>
        </w:tabs>
        <w:spacing w:after="0" w:line="240" w:lineRule="auto"/>
        <w:ind w:firstLine="424" w:firstLineChars="192"/>
        <w:rPr>
          <w:rFonts w:ascii="仿宋" w:hAnsi="仿宋" w:eastAsia="仿宋"/>
          <w:b/>
          <w:sz w:val="22"/>
          <w:szCs w:val="21"/>
        </w:rPr>
      </w:pPr>
      <w:r>
        <w:rPr>
          <w:rFonts w:ascii="仿宋" w:hAnsi="仿宋" w:eastAsia="仿宋"/>
          <w:b/>
          <w:sz w:val="22"/>
          <w:szCs w:val="21"/>
        </w:rPr>
        <w:t>18.4</w:t>
      </w:r>
      <w:r>
        <w:rPr>
          <w:rFonts w:hint="eastAsia" w:ascii="仿宋" w:hAnsi="仿宋" w:eastAsia="仿宋"/>
          <w:b/>
          <w:sz w:val="22"/>
          <w:szCs w:val="21"/>
        </w:rPr>
        <w:t>“遴选推荐供应目录”应编制于其他响应性遴选评议文件正副本内，如有遗漏，将视为无效遴选（实质性要求）。</w:t>
      </w:r>
    </w:p>
    <w:p>
      <w:pPr>
        <w:tabs>
          <w:tab w:val="left" w:pos="1080"/>
        </w:tabs>
        <w:spacing w:after="0" w:line="240" w:lineRule="auto"/>
        <w:ind w:firstLine="424" w:firstLineChars="192"/>
        <w:rPr>
          <w:rFonts w:ascii="仿宋" w:hAnsi="仿宋" w:eastAsia="仿宋"/>
          <w:b/>
          <w:sz w:val="22"/>
          <w:szCs w:val="21"/>
        </w:rPr>
      </w:pPr>
      <w:r>
        <w:rPr>
          <w:rFonts w:hint="eastAsia" w:ascii="仿宋" w:hAnsi="仿宋" w:eastAsia="仿宋"/>
          <w:b/>
          <w:sz w:val="22"/>
          <w:szCs w:val="21"/>
        </w:rPr>
        <w:t>注</w:t>
      </w:r>
      <w:r>
        <w:rPr>
          <w:rFonts w:ascii="仿宋" w:hAnsi="仿宋" w:eastAsia="仿宋"/>
          <w:b/>
          <w:sz w:val="22"/>
          <w:szCs w:val="21"/>
        </w:rPr>
        <w:t>：</w:t>
      </w:r>
      <w:r>
        <w:rPr>
          <w:rFonts w:hint="eastAsia" w:ascii="仿宋" w:hAnsi="仿宋" w:eastAsia="仿宋"/>
          <w:b/>
          <w:sz w:val="22"/>
          <w:szCs w:val="21"/>
        </w:rPr>
        <w:t>本</w:t>
      </w:r>
      <w:r>
        <w:rPr>
          <w:rFonts w:ascii="仿宋" w:hAnsi="仿宋" w:eastAsia="仿宋"/>
          <w:b/>
          <w:sz w:val="22"/>
          <w:szCs w:val="21"/>
        </w:rPr>
        <w:t>项目</w:t>
      </w:r>
      <w:r>
        <w:rPr>
          <w:rFonts w:hint="eastAsia" w:ascii="仿宋" w:hAnsi="仿宋" w:eastAsia="仿宋"/>
          <w:b/>
          <w:sz w:val="22"/>
          <w:szCs w:val="21"/>
        </w:rPr>
        <w:t>不需要</w:t>
      </w:r>
      <w:r>
        <w:rPr>
          <w:rFonts w:ascii="仿宋" w:hAnsi="仿宋" w:eastAsia="仿宋"/>
          <w:b/>
          <w:sz w:val="22"/>
          <w:szCs w:val="21"/>
        </w:rPr>
        <w:t>提供</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w:t>
      </w:r>
      <w:r>
        <w:rPr>
          <w:rFonts w:ascii="仿宋" w:hAnsi="仿宋" w:eastAsia="仿宋"/>
          <w:b/>
          <w:sz w:val="22"/>
          <w:szCs w:val="21"/>
        </w:rPr>
        <w:t>若</w:t>
      </w:r>
      <w:r>
        <w:rPr>
          <w:rFonts w:hint="eastAsia" w:ascii="仿宋" w:hAnsi="仿宋" w:eastAsia="仿宋"/>
          <w:b/>
          <w:sz w:val="22"/>
          <w:szCs w:val="21"/>
        </w:rPr>
        <w:t>供应商</w:t>
      </w:r>
      <w:r>
        <w:rPr>
          <w:rFonts w:ascii="仿宋" w:hAnsi="仿宋" w:eastAsia="仿宋"/>
          <w:b/>
          <w:sz w:val="22"/>
          <w:szCs w:val="21"/>
        </w:rPr>
        <w:t>提供有</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”，该单独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”不作为评议、</w:t>
      </w:r>
      <w:r>
        <w:rPr>
          <w:rFonts w:ascii="仿宋" w:hAnsi="仿宋" w:eastAsia="仿宋"/>
          <w:b/>
          <w:sz w:val="22"/>
          <w:szCs w:val="21"/>
        </w:rPr>
        <w:t>唱标及评议的依据</w:t>
      </w:r>
      <w:r>
        <w:rPr>
          <w:rFonts w:hint="eastAsia" w:ascii="仿宋" w:hAnsi="仿宋" w:eastAsia="仿宋"/>
          <w:b/>
          <w:sz w:val="22"/>
          <w:szCs w:val="21"/>
        </w:rPr>
        <w:t>，但供应商在规定的遴选截止时间前，按</w:t>
      </w:r>
      <w:r>
        <w:rPr>
          <w:rFonts w:ascii="仿宋" w:hAnsi="仿宋" w:eastAsia="仿宋"/>
          <w:b/>
          <w:sz w:val="22"/>
          <w:szCs w:val="21"/>
        </w:rPr>
        <w:t>遴选评议文件要求</w:t>
      </w:r>
      <w:r>
        <w:rPr>
          <w:rFonts w:hint="eastAsia" w:ascii="仿宋" w:hAnsi="仿宋" w:eastAsia="仿宋"/>
          <w:b/>
          <w:sz w:val="22"/>
          <w:szCs w:val="21"/>
        </w:rPr>
        <w:t>补充</w:t>
      </w:r>
      <w:r>
        <w:rPr>
          <w:rFonts w:ascii="仿宋" w:hAnsi="仿宋" w:eastAsia="仿宋"/>
          <w:b/>
          <w:sz w:val="22"/>
          <w:szCs w:val="21"/>
        </w:rPr>
        <w:t>、</w:t>
      </w:r>
      <w:r>
        <w:rPr>
          <w:rFonts w:hint="eastAsia" w:ascii="仿宋" w:hAnsi="仿宋" w:eastAsia="仿宋"/>
          <w:b/>
          <w:sz w:val="22"/>
          <w:szCs w:val="21"/>
        </w:rPr>
        <w:t>修改遴选评议文件中“</w:t>
      </w:r>
      <w:r>
        <w:rPr>
          <w:rFonts w:ascii="仿宋" w:hAnsi="仿宋" w:eastAsia="仿宋"/>
          <w:b/>
          <w:sz w:val="22"/>
          <w:szCs w:val="21"/>
        </w:rPr>
        <w:t>遴选推荐供应目录</w:t>
      </w:r>
      <w:r>
        <w:rPr>
          <w:rFonts w:hint="eastAsia" w:ascii="仿宋" w:hAnsi="仿宋" w:eastAsia="仿宋"/>
          <w:b/>
          <w:sz w:val="22"/>
          <w:szCs w:val="21"/>
        </w:rPr>
        <w:t>”内容</w:t>
      </w:r>
      <w:r>
        <w:rPr>
          <w:rFonts w:ascii="仿宋" w:hAnsi="仿宋" w:eastAsia="仿宋"/>
          <w:b/>
          <w:sz w:val="22"/>
          <w:szCs w:val="21"/>
        </w:rPr>
        <w:t>的</w:t>
      </w:r>
      <w:r>
        <w:rPr>
          <w:rFonts w:hint="eastAsia" w:ascii="仿宋" w:hAnsi="仿宋" w:eastAsia="仿宋"/>
          <w:b/>
          <w:sz w:val="22"/>
          <w:szCs w:val="21"/>
        </w:rPr>
        <w:t>除外。</w:t>
      </w:r>
    </w:p>
    <w:p>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lang w:val="en-US" w:eastAsia="zh-CN"/>
        </w:rPr>
        <w:t>*</w:t>
      </w: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r>
        <w:rPr>
          <w:rFonts w:hint="eastAsia" w:ascii="宋体" w:hAnsi="宋体" w:eastAsia="宋体" w:cs="宋体"/>
          <w:b/>
          <w:bCs w:val="0"/>
          <w:sz w:val="22"/>
          <w:szCs w:val="21"/>
        </w:rPr>
        <w:t>（实质性要求）</w:t>
      </w:r>
      <w:r>
        <w:rPr>
          <w:rFonts w:hint="eastAsia" w:ascii="仿宋" w:hAnsi="仿宋" w:eastAsia="仿宋"/>
          <w:bCs/>
          <w:sz w:val="22"/>
          <w:szCs w:val="21"/>
        </w:rPr>
        <w:t>。</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pPr>
        <w:pStyle w:val="5"/>
        <w:spacing w:before="0" w:after="0" w:line="240" w:lineRule="auto"/>
        <w:ind w:firstLine="442" w:firstLineChars="200"/>
        <w:rPr>
          <w:rFonts w:ascii="仿宋" w:hAnsi="仿宋" w:eastAsia="仿宋"/>
          <w:sz w:val="22"/>
          <w:szCs w:val="21"/>
        </w:rPr>
      </w:pPr>
      <w:bookmarkStart w:id="98" w:name="_Toc77400781"/>
      <w:bookmarkStart w:id="99" w:name="_Toc183582226"/>
      <w:bookmarkStart w:id="100" w:name="_Toc89075877"/>
      <w:bookmarkStart w:id="101" w:name="_Toc183682363"/>
      <w:bookmarkStart w:id="102" w:name="_Toc308164803"/>
      <w:bookmarkStart w:id="103" w:name="_Toc21744605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8"/>
      <w:bookmarkEnd w:id="99"/>
      <w:bookmarkEnd w:id="100"/>
      <w:bookmarkEnd w:id="101"/>
      <w:r>
        <w:rPr>
          <w:rFonts w:hint="eastAsia" w:ascii="仿宋" w:hAnsi="仿宋" w:eastAsia="仿宋"/>
          <w:sz w:val="22"/>
          <w:szCs w:val="21"/>
        </w:rPr>
        <w:t>注</w:t>
      </w:r>
      <w:bookmarkEnd w:id="102"/>
      <w:bookmarkEnd w:id="103"/>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供应商应在遴选评议文件正本和所有副本的封面上注明供应商名称、项目编号、项目名称及分包号（如有分包）。</w:t>
      </w:r>
    </w:p>
    <w:p>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遴选评议文件的密封袋上应当注明供应商名称、项目编号、项目名称及分包号（如有分包）。</w:t>
      </w:r>
    </w:p>
    <w:p>
      <w:pPr>
        <w:pStyle w:val="5"/>
        <w:spacing w:before="0" w:after="0" w:line="240" w:lineRule="auto"/>
        <w:ind w:firstLine="442" w:firstLineChars="200"/>
        <w:rPr>
          <w:rFonts w:ascii="仿宋" w:hAnsi="仿宋" w:eastAsia="仿宋"/>
          <w:bCs w:val="0"/>
          <w:sz w:val="22"/>
          <w:szCs w:val="21"/>
        </w:rPr>
      </w:pPr>
      <w:bookmarkStart w:id="104" w:name="_Toc183682364"/>
      <w:bookmarkStart w:id="105" w:name="_Toc183582227"/>
      <w:bookmarkStart w:id="106" w:name="_Toc217446054"/>
      <w:bookmarkStart w:id="107" w:name="_Toc308164804"/>
      <w:r>
        <w:rPr>
          <w:rFonts w:hint="eastAsia" w:ascii="仿宋" w:hAnsi="仿宋" w:eastAsia="仿宋"/>
          <w:bCs w:val="0"/>
          <w:sz w:val="22"/>
          <w:szCs w:val="21"/>
        </w:rPr>
        <w:t>20．遴选评议文件的</w:t>
      </w:r>
      <w:bookmarkEnd w:id="104"/>
      <w:bookmarkEnd w:id="105"/>
      <w:r>
        <w:rPr>
          <w:rFonts w:hint="eastAsia" w:ascii="仿宋" w:hAnsi="仿宋" w:eastAsia="仿宋"/>
          <w:bCs w:val="0"/>
          <w:sz w:val="22"/>
          <w:szCs w:val="21"/>
        </w:rPr>
        <w:t>递交</w:t>
      </w:r>
      <w:bookmarkEnd w:id="106"/>
      <w:bookmarkEnd w:id="107"/>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应当与遴选供应商名称和遴选评议文件的文号、分包号一致。但是，遴选评议文件实质内容报名供应商名称和遴选评议文件的文号、分包号一致，只是封面文字错误的，可以在评议过程中当面予以澄清，以有效的澄清材料作为认定遴选评议文件是否有效的依据。</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pPr>
        <w:pStyle w:val="5"/>
        <w:spacing w:before="0" w:after="0" w:line="240" w:lineRule="auto"/>
        <w:ind w:firstLine="442" w:firstLineChars="200"/>
        <w:rPr>
          <w:rFonts w:ascii="仿宋" w:hAnsi="仿宋" w:eastAsia="仿宋"/>
          <w:bCs w:val="0"/>
          <w:sz w:val="22"/>
          <w:szCs w:val="21"/>
        </w:rPr>
      </w:pPr>
      <w:bookmarkStart w:id="108" w:name="_Toc183682365"/>
      <w:bookmarkStart w:id="109" w:name="_Toc183582228"/>
      <w:bookmarkStart w:id="110"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8"/>
      <w:bookmarkEnd w:id="109"/>
      <w:r>
        <w:rPr>
          <w:rFonts w:hint="eastAsia" w:ascii="仿宋" w:hAnsi="仿宋" w:eastAsia="仿宋"/>
          <w:bCs w:val="0"/>
          <w:sz w:val="22"/>
          <w:szCs w:val="21"/>
        </w:rPr>
        <w:t>回</w:t>
      </w:r>
      <w:bookmarkEnd w:id="110"/>
    </w:p>
    <w:p>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pPr>
        <w:pStyle w:val="4"/>
        <w:spacing w:before="0" w:after="0" w:line="240" w:lineRule="auto"/>
        <w:jc w:val="center"/>
        <w:rPr>
          <w:rFonts w:ascii="仿宋" w:hAnsi="仿宋" w:eastAsia="仿宋"/>
          <w:sz w:val="22"/>
          <w:szCs w:val="21"/>
        </w:rPr>
      </w:pPr>
      <w:bookmarkStart w:id="111" w:name="_Toc183682368"/>
      <w:bookmarkStart w:id="112" w:name="_Toc77400782"/>
      <w:bookmarkStart w:id="113" w:name="_Toc308164805"/>
      <w:bookmarkStart w:id="114" w:name="_Toc217446056"/>
      <w:bookmarkStart w:id="115" w:name="_Toc89075878"/>
      <w:bookmarkStart w:id="116" w:name="_Toc183582231"/>
      <w:r>
        <w:rPr>
          <w:rFonts w:hint="eastAsia" w:ascii="仿宋" w:hAnsi="仿宋" w:eastAsia="仿宋"/>
          <w:sz w:val="22"/>
          <w:szCs w:val="21"/>
        </w:rPr>
        <w:t>五、评议和中选</w:t>
      </w:r>
      <w:bookmarkEnd w:id="111"/>
      <w:bookmarkEnd w:id="112"/>
      <w:bookmarkEnd w:id="113"/>
      <w:bookmarkEnd w:id="114"/>
      <w:bookmarkEnd w:id="115"/>
      <w:bookmarkEnd w:id="116"/>
    </w:p>
    <w:p>
      <w:pPr>
        <w:pStyle w:val="5"/>
        <w:spacing w:before="0" w:after="0" w:line="240" w:lineRule="auto"/>
        <w:ind w:firstLine="442" w:firstLineChars="200"/>
        <w:rPr>
          <w:rFonts w:ascii="仿宋" w:hAnsi="仿宋" w:eastAsia="仿宋"/>
          <w:bCs w:val="0"/>
          <w:sz w:val="22"/>
          <w:szCs w:val="21"/>
        </w:rPr>
      </w:pPr>
      <w:bookmarkStart w:id="117" w:name="_Toc308164806"/>
      <w:bookmarkStart w:id="118" w:name="_Toc183582232"/>
      <w:bookmarkStart w:id="119" w:name="_Toc183682369"/>
      <w:bookmarkStart w:id="120" w:name="_Toc217446057"/>
      <w:r>
        <w:rPr>
          <w:rFonts w:hint="eastAsia" w:ascii="仿宋" w:hAnsi="仿宋" w:eastAsia="仿宋"/>
          <w:bCs w:val="0"/>
          <w:sz w:val="22"/>
          <w:szCs w:val="21"/>
        </w:rPr>
        <w:t>22．评议</w:t>
      </w:r>
      <w:bookmarkEnd w:id="117"/>
      <w:bookmarkEnd w:id="118"/>
      <w:bookmarkEnd w:id="119"/>
      <w:bookmarkEnd w:id="120"/>
    </w:p>
    <w:p>
      <w:pPr>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22.1 评议在遴选评议四川省骨科医院进行，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22.2 评议时，可根据具体情况邀请有关监督管理部门对评议活动进行现场监督。</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pPr>
        <w:pStyle w:val="5"/>
        <w:spacing w:before="0" w:after="0" w:line="240" w:lineRule="auto"/>
        <w:ind w:firstLine="442" w:firstLineChars="200"/>
        <w:rPr>
          <w:rFonts w:ascii="仿宋" w:hAnsi="仿宋" w:eastAsia="仿宋"/>
          <w:sz w:val="22"/>
          <w:szCs w:val="21"/>
        </w:rPr>
      </w:pPr>
      <w:bookmarkStart w:id="121" w:name="_Toc308164807"/>
      <w:bookmarkStart w:id="122" w:name="_Toc217446058"/>
      <w:r>
        <w:rPr>
          <w:rFonts w:hint="eastAsia" w:ascii="仿宋" w:hAnsi="仿宋" w:eastAsia="仿宋"/>
          <w:sz w:val="22"/>
          <w:szCs w:val="21"/>
        </w:rPr>
        <w:t>23. 评议程序</w:t>
      </w:r>
      <w:bookmarkEnd w:id="121"/>
      <w:bookmarkEnd w:id="122"/>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pPr>
        <w:pStyle w:val="5"/>
        <w:spacing w:before="0" w:after="0" w:line="240" w:lineRule="auto"/>
        <w:ind w:firstLine="442" w:firstLineChars="200"/>
        <w:rPr>
          <w:rFonts w:ascii="仿宋" w:hAnsi="仿宋" w:eastAsia="仿宋"/>
          <w:sz w:val="22"/>
          <w:szCs w:val="21"/>
        </w:rPr>
      </w:pPr>
      <w:bookmarkStart w:id="123" w:name="_Toc183682375"/>
      <w:bookmarkStart w:id="124" w:name="_Toc183582238"/>
      <w:bookmarkStart w:id="125" w:name="_Toc308164809"/>
      <w:bookmarkStart w:id="126" w:name="_Toc217446063"/>
      <w:r>
        <w:rPr>
          <w:rFonts w:hint="eastAsia" w:ascii="仿宋" w:hAnsi="仿宋" w:eastAsia="仿宋"/>
          <w:sz w:val="22"/>
          <w:szCs w:val="21"/>
        </w:rPr>
        <w:t>24．评议过程监督</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25.评议情况公告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所有供应商遴选评议文件资格性、符合性检查情况、采用综合评分法时的总得分和分项汇总得分情况、评议结果等将在四川省骨科医院官网予以公告。</w:t>
      </w:r>
    </w:p>
    <w:p>
      <w:pPr>
        <w:pStyle w:val="4"/>
        <w:keepNext w:val="0"/>
        <w:keepLines w:val="0"/>
        <w:spacing w:before="0" w:after="0" w:line="240" w:lineRule="auto"/>
        <w:ind w:firstLine="442" w:firstLineChars="200"/>
        <w:rPr>
          <w:rFonts w:ascii="仿宋" w:hAnsi="仿宋" w:eastAsia="仿宋"/>
          <w:b w:val="0"/>
          <w:sz w:val="22"/>
          <w:szCs w:val="21"/>
        </w:rPr>
      </w:pPr>
      <w:r>
        <w:rPr>
          <w:rFonts w:hint="eastAsia" w:ascii="仿宋" w:hAnsi="仿宋" w:eastAsia="仿宋"/>
          <w:b/>
          <w:bCs w:val="0"/>
          <w:sz w:val="22"/>
          <w:szCs w:val="21"/>
        </w:rPr>
        <w:t>26.</w:t>
      </w:r>
      <w:r>
        <w:rPr>
          <w:rFonts w:hint="eastAsia" w:ascii="仿宋" w:hAnsi="仿宋" w:eastAsia="仿宋"/>
          <w:b w:val="0"/>
          <w:sz w:val="22"/>
          <w:szCs w:val="21"/>
        </w:rPr>
        <w:t>采购人确定中选人过程中，发现中选候选人有下列情形之一的，应当不予确定其为中选人：</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（1）发现中选候选人存在禁止参加本项目采购活动的违法行为的；</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（2）中选候选人因不可抗力，不能继续参加遴选采购活动；</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（3）中选候选人无偿赠与或者低于成本价竞争；</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（4）中选候选人提供虚假材料；</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（5</w:t>
      </w:r>
      <w:r>
        <w:rPr>
          <w:rFonts w:ascii="仿宋" w:hAnsi="仿宋" w:eastAsia="仿宋"/>
          <w:b w:val="0"/>
          <w:sz w:val="22"/>
          <w:szCs w:val="21"/>
        </w:rPr>
        <w:t>）</w:t>
      </w:r>
      <w:r>
        <w:rPr>
          <w:rFonts w:hint="eastAsia" w:ascii="仿宋" w:hAnsi="仿宋" w:eastAsia="仿宋"/>
          <w:b w:val="0"/>
          <w:sz w:val="22"/>
          <w:szCs w:val="21"/>
        </w:rPr>
        <w:t>中选候选人恶意串通。</w:t>
      </w:r>
    </w:p>
    <w:p>
      <w:pPr>
        <w:pStyle w:val="5"/>
        <w:spacing w:before="0" w:after="0" w:line="240" w:lineRule="auto"/>
        <w:ind w:firstLine="442" w:firstLineChars="200"/>
        <w:rPr>
          <w:rFonts w:ascii="仿宋" w:hAnsi="仿宋" w:eastAsia="仿宋"/>
          <w:bCs w:val="0"/>
          <w:sz w:val="22"/>
          <w:szCs w:val="21"/>
        </w:rPr>
      </w:pPr>
      <w:r>
        <w:rPr>
          <w:rFonts w:hint="eastAsia" w:ascii="仿宋" w:hAnsi="仿宋" w:eastAsia="仿宋"/>
          <w:bCs w:val="0"/>
          <w:sz w:val="22"/>
          <w:szCs w:val="21"/>
        </w:rPr>
        <w:t>27.中选通知</w:t>
      </w:r>
      <w:bookmarkEnd w:id="123"/>
      <w:bookmarkEnd w:id="124"/>
      <w:r>
        <w:rPr>
          <w:rFonts w:hint="eastAsia" w:ascii="仿宋" w:hAnsi="仿宋" w:eastAsia="仿宋"/>
          <w:bCs w:val="0"/>
          <w:sz w:val="22"/>
          <w:szCs w:val="21"/>
        </w:rPr>
        <w:t>书</w:t>
      </w:r>
      <w:bookmarkEnd w:id="125"/>
      <w:bookmarkEnd w:id="126"/>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27</w:t>
      </w:r>
      <w:r>
        <w:rPr>
          <w:rFonts w:hint="eastAsia" w:ascii="仿宋" w:hAnsi="仿宋" w:eastAsia="仿宋"/>
          <w:bCs/>
          <w:sz w:val="22"/>
          <w:szCs w:val="21"/>
        </w:rPr>
        <w:t>.</w:t>
      </w:r>
      <w:r>
        <w:rPr>
          <w:rFonts w:hint="eastAsia" w:ascii="仿宋" w:hAnsi="仿宋" w:eastAsia="仿宋"/>
          <w:sz w:val="22"/>
          <w:szCs w:val="21"/>
        </w:rPr>
        <w:t>1 中选通知书为签订遴选采购合同的依据之一，是合同的有效组成部分。</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27.2 中选通知书对采购人和中选人均具有法律效力。中选通知书发出后，采购人改变中选结果，或者中选人无正当理由放弃中选的，应当承担相应的法律责任。</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3中选人的遴选评议文件本应作为无效遴选处理或者有遴选采购法律法规规章制度规定的中选无效情形的，遴选采购单位在取得有权主体的认定以后，将宣布发出的中选通知书无效，并收回发出的中选通知书（中选人也应当缴回），依法重新确定中选人或者重新开展采购活动。</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27.4中选公告发出后，中选供应商自行领取中选通知书的，可凭有效身份证明证件到采购人办理。（详见须知附表中联系方式）</w:t>
      </w:r>
    </w:p>
    <w:p>
      <w:pPr>
        <w:pStyle w:val="4"/>
        <w:spacing w:before="0" w:after="0" w:line="240" w:lineRule="auto"/>
        <w:jc w:val="center"/>
        <w:rPr>
          <w:rFonts w:ascii="仿宋" w:hAnsi="仿宋" w:eastAsia="仿宋"/>
          <w:sz w:val="22"/>
          <w:szCs w:val="21"/>
        </w:rPr>
      </w:pPr>
      <w:bookmarkStart w:id="127" w:name="_Toc217446064"/>
      <w:bookmarkStart w:id="128" w:name="_Toc308164810"/>
      <w:bookmarkStart w:id="129" w:name="_Toc183582240"/>
      <w:bookmarkStart w:id="130" w:name="_Toc183682377"/>
      <w:r>
        <w:rPr>
          <w:rFonts w:hint="eastAsia" w:ascii="仿宋" w:hAnsi="仿宋" w:eastAsia="仿宋"/>
          <w:sz w:val="22"/>
          <w:szCs w:val="21"/>
        </w:rPr>
        <w:t>六、签订及履行合同和验收</w:t>
      </w:r>
      <w:bookmarkEnd w:id="127"/>
      <w:bookmarkEnd w:id="128"/>
    </w:p>
    <w:p>
      <w:pPr>
        <w:pStyle w:val="5"/>
        <w:spacing w:before="0" w:after="0" w:line="240" w:lineRule="auto"/>
        <w:ind w:firstLine="442" w:firstLineChars="200"/>
        <w:rPr>
          <w:rFonts w:ascii="仿宋" w:hAnsi="仿宋" w:eastAsia="仿宋"/>
          <w:b w:val="0"/>
          <w:sz w:val="22"/>
          <w:szCs w:val="21"/>
        </w:rPr>
      </w:pPr>
      <w:bookmarkStart w:id="131" w:name="_Toc308164811"/>
      <w:bookmarkStart w:id="132" w:name="_Toc217446065"/>
      <w:r>
        <w:rPr>
          <w:rFonts w:hint="eastAsia" w:ascii="仿宋" w:hAnsi="仿宋" w:eastAsia="仿宋"/>
          <w:sz w:val="22"/>
          <w:szCs w:val="21"/>
        </w:rPr>
        <w:t>28.签订合同</w:t>
      </w:r>
      <w:bookmarkEnd w:id="131"/>
      <w:bookmarkEnd w:id="132"/>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pPr>
        <w:pStyle w:val="4"/>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29.合同转包（实质性要求）</w:t>
      </w:r>
    </w:p>
    <w:p>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pPr>
        <w:pStyle w:val="4"/>
        <w:spacing w:before="0" w:after="0" w:line="240" w:lineRule="auto"/>
        <w:ind w:firstLine="442" w:firstLineChars="200"/>
        <w:rPr>
          <w:rFonts w:ascii="仿宋" w:hAnsi="仿宋" w:eastAsia="仿宋"/>
          <w:sz w:val="22"/>
          <w:szCs w:val="21"/>
        </w:rPr>
      </w:pPr>
      <w:bookmarkStart w:id="133" w:name="_Toc217446066"/>
      <w:r>
        <w:rPr>
          <w:rFonts w:hint="eastAsia" w:ascii="仿宋" w:hAnsi="仿宋" w:eastAsia="仿宋"/>
          <w:sz w:val="22"/>
          <w:szCs w:val="21"/>
        </w:rPr>
        <w:t>30.</w:t>
      </w:r>
      <w:bookmarkEnd w:id="133"/>
      <w:r>
        <w:rPr>
          <w:rFonts w:hint="eastAsia" w:ascii="仿宋" w:hAnsi="仿宋" w:eastAsia="仿宋"/>
          <w:sz w:val="22"/>
          <w:szCs w:val="21"/>
        </w:rPr>
        <w:t xml:space="preserve"> 补充合同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pPr>
        <w:pStyle w:val="5"/>
        <w:spacing w:before="0" w:after="0" w:line="240" w:lineRule="auto"/>
        <w:ind w:firstLine="442" w:firstLineChars="200"/>
        <w:rPr>
          <w:rFonts w:ascii="仿宋" w:hAnsi="仿宋" w:eastAsia="仿宋"/>
          <w:b w:val="0"/>
          <w:sz w:val="22"/>
          <w:szCs w:val="21"/>
        </w:rPr>
      </w:pPr>
      <w:bookmarkStart w:id="134" w:name="_Toc308164812"/>
      <w:bookmarkStart w:id="135" w:name="_Toc217446068"/>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34"/>
      <w:bookmarkEnd w:id="135"/>
      <w:r>
        <w:rPr>
          <w:rFonts w:hint="eastAsia" w:ascii="仿宋" w:hAnsi="仿宋" w:eastAsia="仿宋"/>
          <w:sz w:val="22"/>
          <w:szCs w:val="21"/>
        </w:rPr>
        <w:t>（实质性要求）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pPr>
        <w:pStyle w:val="5"/>
        <w:spacing w:before="0" w:after="0" w:line="240" w:lineRule="auto"/>
        <w:ind w:firstLine="442" w:firstLineChars="200"/>
        <w:rPr>
          <w:rFonts w:ascii="仿宋" w:hAnsi="仿宋" w:eastAsia="仿宋"/>
          <w:b w:val="0"/>
          <w:sz w:val="22"/>
          <w:szCs w:val="21"/>
        </w:rPr>
      </w:pPr>
      <w:bookmarkStart w:id="136" w:name="_Toc308164813"/>
      <w:bookmarkStart w:id="137" w:name="_Toc217446069"/>
      <w:r>
        <w:rPr>
          <w:rFonts w:hint="eastAsia" w:ascii="仿宋" w:hAnsi="仿宋" w:eastAsia="仿宋"/>
          <w:sz w:val="22"/>
          <w:szCs w:val="21"/>
        </w:rPr>
        <w:t>32. 履行合同</w:t>
      </w:r>
      <w:bookmarkEnd w:id="136"/>
      <w:bookmarkEnd w:id="137"/>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pPr>
        <w:pStyle w:val="5"/>
        <w:spacing w:before="0" w:after="0" w:line="240" w:lineRule="auto"/>
        <w:ind w:firstLine="442" w:firstLineChars="200"/>
        <w:rPr>
          <w:rFonts w:ascii="仿宋" w:hAnsi="仿宋" w:eastAsia="仿宋"/>
          <w:b w:val="0"/>
          <w:sz w:val="22"/>
          <w:szCs w:val="21"/>
        </w:rPr>
      </w:pPr>
      <w:bookmarkStart w:id="138" w:name="_Toc217446070"/>
      <w:bookmarkStart w:id="139" w:name="_Toc308164814"/>
      <w:r>
        <w:rPr>
          <w:rFonts w:hint="eastAsia" w:ascii="仿宋" w:hAnsi="仿宋" w:eastAsia="仿宋"/>
          <w:sz w:val="22"/>
          <w:szCs w:val="21"/>
        </w:rPr>
        <w:t>33. 验收</w:t>
      </w:r>
      <w:bookmarkEnd w:id="138"/>
      <w:bookmarkEnd w:id="139"/>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pPr>
        <w:pStyle w:val="5"/>
        <w:spacing w:before="0" w:after="0" w:line="240" w:lineRule="auto"/>
        <w:ind w:firstLine="442" w:firstLineChars="200"/>
        <w:rPr>
          <w:rFonts w:ascii="仿宋" w:hAnsi="仿宋" w:eastAsia="仿宋"/>
          <w:sz w:val="22"/>
          <w:szCs w:val="21"/>
        </w:rPr>
      </w:pPr>
      <w:bookmarkStart w:id="140" w:name="_Toc217446077"/>
      <w:bookmarkStart w:id="141" w:name="_Toc308164818"/>
      <w:bookmarkStart w:id="142" w:name="_Toc217446071"/>
      <w:r>
        <w:rPr>
          <w:rFonts w:hint="eastAsia" w:ascii="仿宋" w:hAnsi="仿宋" w:eastAsia="仿宋"/>
          <w:sz w:val="22"/>
          <w:szCs w:val="21"/>
        </w:rPr>
        <w:t>34.资金支付</w:t>
      </w:r>
      <w:bookmarkEnd w:id="140"/>
      <w:bookmarkEnd w:id="141"/>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采购人将按照遴选采购合同规定，及时向中选供应商支付采购资金。本项目采购资金付款详见第六章商务要求中付款方式。</w:t>
      </w:r>
    </w:p>
    <w:bookmarkEnd w:id="129"/>
    <w:bookmarkEnd w:id="130"/>
    <w:bookmarkEnd w:id="142"/>
    <w:p>
      <w:pPr>
        <w:pStyle w:val="4"/>
        <w:spacing w:before="0" w:after="0" w:line="240" w:lineRule="auto"/>
        <w:jc w:val="center"/>
        <w:rPr>
          <w:rFonts w:ascii="仿宋" w:hAnsi="仿宋" w:eastAsia="仿宋"/>
          <w:sz w:val="22"/>
          <w:szCs w:val="21"/>
        </w:rPr>
      </w:pPr>
      <w:bookmarkStart w:id="143" w:name="_Toc217446074"/>
      <w:bookmarkStart w:id="144" w:name="_Toc308164815"/>
      <w:bookmarkStart w:id="145" w:name="_Toc183582243"/>
      <w:bookmarkStart w:id="146" w:name="_Toc183682380"/>
      <w:r>
        <w:rPr>
          <w:rFonts w:hint="eastAsia" w:ascii="仿宋" w:hAnsi="仿宋" w:eastAsia="仿宋"/>
          <w:sz w:val="22"/>
          <w:szCs w:val="21"/>
        </w:rPr>
        <w:t>七、遴选评议纪律要求</w:t>
      </w:r>
      <w:bookmarkEnd w:id="143"/>
      <w:bookmarkEnd w:id="144"/>
    </w:p>
    <w:p>
      <w:pPr>
        <w:pStyle w:val="5"/>
        <w:spacing w:before="0" w:after="0" w:line="240" w:lineRule="auto"/>
        <w:ind w:firstLine="442" w:firstLineChars="200"/>
        <w:rPr>
          <w:rFonts w:ascii="仿宋" w:hAnsi="仿宋" w:eastAsia="仿宋"/>
          <w:bCs w:val="0"/>
          <w:sz w:val="22"/>
          <w:szCs w:val="21"/>
        </w:rPr>
      </w:pPr>
      <w:bookmarkStart w:id="147" w:name="_Toc217446075"/>
      <w:bookmarkStart w:id="148"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47"/>
      <w:bookmarkEnd w:id="148"/>
      <w:r>
        <w:rPr>
          <w:rFonts w:hint="eastAsia" w:ascii="仿宋" w:hAnsi="仿宋" w:eastAsia="仿宋"/>
          <w:bCs w:val="0"/>
          <w:sz w:val="22"/>
          <w:szCs w:val="21"/>
        </w:rPr>
        <w:t>纪律要求</w:t>
      </w:r>
    </w:p>
    <w:p>
      <w:pPr>
        <w:pStyle w:val="7"/>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pPr>
        <w:pStyle w:val="7"/>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3"/>
    </w:p>
    <w:p>
      <w:pPr>
        <w:spacing w:after="0" w:line="240" w:lineRule="auto"/>
        <w:ind w:firstLine="440" w:firstLineChars="200"/>
        <w:rPr>
          <w:rFonts w:ascii="仿宋" w:hAnsi="仿宋" w:eastAsia="仿宋"/>
          <w:sz w:val="22"/>
          <w:szCs w:val="21"/>
        </w:rPr>
      </w:pPr>
      <w:bookmarkStart w:id="149" w:name="PO_默认文件内容_23"/>
      <w:r>
        <w:rPr>
          <w:rFonts w:hint="eastAsia" w:ascii="仿宋" w:hAnsi="仿宋" w:eastAsia="仿宋"/>
          <w:sz w:val="22"/>
          <w:szCs w:val="21"/>
        </w:rPr>
        <w:t>37.2 供应商有下列情形之一的，视为供应商串通遴选，其遴选无效：</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pPr>
        <w:pStyle w:val="4"/>
        <w:spacing w:before="0" w:after="0" w:line="240" w:lineRule="auto"/>
        <w:jc w:val="center"/>
        <w:rPr>
          <w:rFonts w:ascii="仿宋" w:hAnsi="仿宋" w:eastAsia="仿宋"/>
          <w:bCs w:val="0"/>
          <w:sz w:val="22"/>
          <w:szCs w:val="21"/>
        </w:rPr>
      </w:pPr>
      <w:bookmarkStart w:id="150" w:name="_Toc308164819"/>
      <w:bookmarkStart w:id="151" w:name="_Toc217446078"/>
      <w:r>
        <w:rPr>
          <w:rFonts w:hint="eastAsia" w:ascii="仿宋" w:hAnsi="仿宋" w:eastAsia="仿宋"/>
          <w:bCs w:val="0"/>
          <w:sz w:val="22"/>
          <w:szCs w:val="21"/>
        </w:rPr>
        <w:t>八、询问、质疑和投诉</w:t>
      </w:r>
      <w:bookmarkEnd w:id="150"/>
      <w:bookmarkEnd w:id="151"/>
      <w:bookmarkStart w:id="152" w:name="_Toc217446079"/>
    </w:p>
    <w:bookmarkEnd w:id="152"/>
    <w:p>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45"/>
      <w:bookmarkEnd w:id="146"/>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pPr>
        <w:pStyle w:val="4"/>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七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（实质性要求）</w:t>
      </w:r>
    </w:p>
    <w:p>
      <w:pPr>
        <w:widowControl/>
        <w:spacing w:after="0" w:line="240" w:lineRule="auto"/>
        <w:ind w:firstLine="440" w:firstLineChars="200"/>
        <w:jc w:val="left"/>
        <w:outlineLvl w:val="1"/>
        <w:rPr>
          <w:rFonts w:ascii="仿宋" w:hAnsi="仿宋" w:eastAsia="仿宋"/>
          <w:sz w:val="22"/>
          <w:szCs w:val="21"/>
        </w:rPr>
      </w:pPr>
    </w:p>
    <w:p>
      <w:pPr>
        <w:widowControl/>
        <w:spacing w:after="0" w:line="240" w:lineRule="auto"/>
        <w:jc w:val="center"/>
        <w:outlineLvl w:val="1"/>
        <w:rPr>
          <w:rFonts w:ascii="仿宋" w:hAnsi="仿宋" w:eastAsia="仿宋"/>
          <w:b/>
          <w:sz w:val="22"/>
          <w:szCs w:val="21"/>
        </w:rPr>
      </w:pPr>
      <w:bookmarkStart w:id="153" w:name="_Toc217446083"/>
    </w:p>
    <w:p>
      <w:pPr>
        <w:pStyle w:val="3"/>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54" w:name="_Toc24369"/>
      <w:bookmarkStart w:id="155" w:name="_Toc1368"/>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第三章  遴选评议文件格式</w:t>
      </w:r>
      <w:bookmarkEnd w:id="154"/>
      <w:bookmarkEnd w:id="155"/>
      <w:bookmarkStart w:id="156" w:name="_Toc217446082"/>
      <w:bookmarkStart w:id="157" w:name="_Toc308164821"/>
    </w:p>
    <w:p>
      <w:pPr>
        <w:widowControl/>
        <w:spacing w:after="0" w:line="240" w:lineRule="auto"/>
        <w:jc w:val="center"/>
        <w:outlineLvl w:val="1"/>
        <w:rPr>
          <w:rFonts w:ascii="仿宋" w:hAnsi="仿宋" w:eastAsia="仿宋"/>
          <w:b/>
          <w:sz w:val="22"/>
          <w:szCs w:val="21"/>
        </w:rPr>
      </w:pPr>
    </w:p>
    <w:p>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9"/>
    </w:p>
    <w:p>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8"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pPr>
        <w:spacing w:after="0" w:line="240" w:lineRule="auto"/>
        <w:rPr>
          <w:rFonts w:asciiTheme="minorEastAsia" w:hAnsiTheme="minorEastAsia" w:eastAsiaTheme="minorEastAsia"/>
          <w:b/>
          <w:sz w:val="36"/>
          <w:szCs w:val="21"/>
        </w:rPr>
      </w:pPr>
    </w:p>
    <w:p>
      <w:pPr>
        <w:spacing w:after="0" w:line="240" w:lineRule="auto"/>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pPr>
        <w:spacing w:after="0" w:line="240" w:lineRule="auto"/>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 选 人</w:t>
      </w:r>
      <w:r>
        <w:rPr>
          <w:rFonts w:asciiTheme="minorEastAsia" w:hAnsiTheme="minorEastAsia" w:eastAsiaTheme="minorEastAsia"/>
          <w:b/>
          <w:sz w:val="36"/>
          <w:szCs w:val="21"/>
        </w:rPr>
        <w:t>名称：</w:t>
      </w: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遴选评议项目</w:t>
      </w:r>
      <w:r>
        <w:rPr>
          <w:rFonts w:asciiTheme="minorEastAsia" w:hAnsiTheme="minorEastAsia" w:eastAsiaTheme="minorEastAsia"/>
          <w:b/>
          <w:sz w:val="36"/>
          <w:szCs w:val="21"/>
        </w:rPr>
        <w:t>编号：</w:t>
      </w: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        号</w:t>
      </w:r>
      <w:r>
        <w:rPr>
          <w:rFonts w:asciiTheme="minorEastAsia" w:hAnsiTheme="minorEastAsia" w:eastAsiaTheme="minorEastAsia"/>
          <w:b/>
          <w:sz w:val="36"/>
          <w:szCs w:val="21"/>
        </w:rPr>
        <w:t>：</w:t>
      </w:r>
    </w:p>
    <w:p>
      <w:pPr>
        <w:spacing w:after="0" w:line="240" w:lineRule="auto"/>
        <w:ind w:firstLine="889" w:firstLineChars="246"/>
        <w:jc w:val="center"/>
        <w:rPr>
          <w:rFonts w:asciiTheme="minorEastAsia" w:hAnsiTheme="minorEastAsia" w:eastAsiaTheme="minorEastAsia"/>
          <w:b/>
          <w:sz w:val="36"/>
          <w:szCs w:val="21"/>
        </w:rPr>
      </w:pPr>
    </w:p>
    <w:p>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pPr>
        <w:pStyle w:val="4"/>
        <w:wordWrap w:val="0"/>
        <w:spacing w:before="0" w:after="0" w:line="360" w:lineRule="auto"/>
        <w:jc w:val="center"/>
        <w:rPr>
          <w:rFonts w:ascii="仿宋" w:hAnsi="仿宋" w:eastAsia="仿宋"/>
          <w:sz w:val="18"/>
          <w:szCs w:val="18"/>
        </w:rPr>
      </w:pPr>
      <w:bookmarkStart w:id="159" w:name="_Toc217446084"/>
      <w:r>
        <w:rPr>
          <w:rFonts w:ascii="仿宋" w:hAnsi="仿宋" w:eastAsia="仿宋"/>
          <w:sz w:val="18"/>
          <w:szCs w:val="18"/>
        </w:rPr>
        <w:t>法定代表人授权书</w:t>
      </w:r>
    </w:p>
    <w:p>
      <w:pPr>
        <w:pStyle w:val="53"/>
        <w:tabs>
          <w:tab w:val="clear" w:pos="1740"/>
        </w:tabs>
        <w:wordWrap w:val="0"/>
        <w:adjustRightInd/>
        <w:spacing w:before="0" w:line="360" w:lineRule="auto"/>
        <w:ind w:left="0" w:firstLine="0"/>
        <w:outlineLvl w:val="9"/>
        <w:rPr>
          <w:rFonts w:ascii="仿宋" w:hAnsi="仿宋" w:eastAsia="仿宋"/>
          <w:sz w:val="18"/>
          <w:szCs w:val="18"/>
        </w:rPr>
      </w:pPr>
    </w:p>
    <w:p>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pPr>
        <w:wordWrap w:val="0"/>
        <w:spacing w:after="0" w:line="360" w:lineRule="auto"/>
        <w:rPr>
          <w:rFonts w:ascii="仿宋" w:hAnsi="仿宋" w:eastAsia="仿宋"/>
          <w:sz w:val="18"/>
          <w:szCs w:val="18"/>
        </w:rPr>
      </w:pPr>
      <w:r>
        <w:rPr>
          <w:rFonts w:hint="eastAsia" w:ascii="仿宋" w:hAnsi="仿宋" w:eastAsia="仿宋"/>
          <w:sz w:val="18"/>
          <w:szCs w:val="18"/>
        </w:rPr>
        <w:t>日    期：</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pPr>
        <w:wordWrap w:val="0"/>
        <w:spacing w:after="0" w:line="360" w:lineRule="auto"/>
        <w:rPr>
          <w:rFonts w:ascii="仿宋" w:hAnsi="仿宋" w:eastAsia="仿宋"/>
          <w:b/>
          <w:sz w:val="18"/>
          <w:szCs w:val="18"/>
        </w:rPr>
      </w:pPr>
      <w:r>
        <w:rPr>
          <w:rFonts w:hint="eastAsia" w:ascii="仿宋" w:hAnsi="仿宋" w:eastAsia="仿宋"/>
          <w:b/>
          <w:sz w:val="18"/>
          <w:szCs w:val="18"/>
        </w:rPr>
        <w:t>注：</w:t>
      </w:r>
    </w:p>
    <w:p>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pPr>
        <w:widowControl/>
        <w:spacing w:after="0" w:line="240" w:lineRule="auto"/>
        <w:jc w:val="left"/>
        <w:outlineLvl w:val="1"/>
        <w:rPr>
          <w:rFonts w:ascii="仿宋" w:hAnsi="仿宋" w:eastAsia="仿宋"/>
          <w:b/>
          <w:sz w:val="22"/>
          <w:szCs w:val="21"/>
        </w:rPr>
      </w:pPr>
    </w:p>
    <w:p>
      <w:pPr>
        <w:widowControl/>
        <w:spacing w:after="0" w:line="240" w:lineRule="auto"/>
        <w:jc w:val="left"/>
        <w:outlineLvl w:val="1"/>
        <w:rPr>
          <w:rFonts w:ascii="仿宋" w:hAnsi="仿宋" w:eastAsia="仿宋"/>
          <w:b/>
          <w:sz w:val="22"/>
          <w:szCs w:val="21"/>
        </w:rPr>
      </w:pPr>
    </w:p>
    <w:bookmarkEnd w:id="159"/>
    <w:p>
      <w:pPr>
        <w:spacing w:after="0" w:line="240" w:lineRule="auto"/>
        <w:ind w:firstLine="543" w:firstLineChars="246"/>
        <w:jc w:val="center"/>
        <w:rPr>
          <w:rFonts w:ascii="仿宋" w:hAnsi="仿宋" w:eastAsia="仿宋"/>
          <w:b/>
          <w:sz w:val="22"/>
          <w:szCs w:val="21"/>
        </w:rPr>
      </w:pP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pPr>
        <w:spacing w:after="0" w:line="240" w:lineRule="auto"/>
        <w:rPr>
          <w:rFonts w:ascii="仿宋" w:hAnsi="仿宋" w:eastAsia="仿宋"/>
          <w:b/>
          <w:sz w:val="22"/>
          <w:szCs w:val="21"/>
        </w:rPr>
      </w:pPr>
      <w:r>
        <w:rPr>
          <w:rFonts w:hint="eastAsia" w:ascii="仿宋" w:hAnsi="仿宋" w:eastAsia="仿宋"/>
          <w:b/>
          <w:sz w:val="22"/>
          <w:szCs w:val="21"/>
        </w:rPr>
        <w:t>格式1-5</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pPr>
        <w:widowControl/>
        <w:spacing w:after="0" w:line="240" w:lineRule="auto"/>
        <w:jc w:val="center"/>
        <w:outlineLvl w:val="1"/>
        <w:rPr>
          <w:rFonts w:ascii="仿宋" w:hAnsi="仿宋" w:eastAsia="仿宋"/>
          <w:b/>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pPr>
        <w:spacing w:after="0" w:line="240" w:lineRule="auto"/>
        <w:rPr>
          <w:rFonts w:ascii="仿宋" w:hAnsi="仿宋" w:eastAsia="仿宋"/>
          <w:b/>
          <w:sz w:val="22"/>
          <w:szCs w:val="21"/>
        </w:rPr>
      </w:pPr>
      <w:r>
        <w:rPr>
          <w:rFonts w:hint="eastAsia" w:ascii="仿宋" w:hAnsi="仿宋" w:eastAsia="仿宋"/>
          <w:b/>
          <w:sz w:val="22"/>
          <w:szCs w:val="21"/>
        </w:rPr>
        <w:t>格式2-1</w:t>
      </w:r>
    </w:p>
    <w:p>
      <w:pPr>
        <w:spacing w:after="0" w:line="240" w:lineRule="auto"/>
        <w:rPr>
          <w:rFonts w:ascii="仿宋" w:hAnsi="仿宋" w:eastAsia="仿宋"/>
          <w:b/>
          <w:sz w:val="22"/>
          <w:szCs w:val="21"/>
        </w:rPr>
      </w:pPr>
      <w:r>
        <w:rPr>
          <w:rFonts w:hint="eastAsia" w:ascii="仿宋" w:hAnsi="仿宋" w:eastAsia="仿宋"/>
          <w:b/>
          <w:sz w:val="22"/>
          <w:szCs w:val="21"/>
        </w:rPr>
        <w:t>封面：</w:t>
      </w:r>
    </w:p>
    <w:p>
      <w:pPr>
        <w:spacing w:after="0" w:line="240" w:lineRule="auto"/>
        <w:jc w:val="right"/>
        <w:rPr>
          <w:rFonts w:ascii="仿宋" w:hAnsi="仿宋" w:eastAsia="仿宋"/>
          <w:b/>
          <w:sz w:val="22"/>
          <w:szCs w:val="21"/>
        </w:rPr>
      </w:pPr>
      <w:r>
        <w:rPr>
          <w:rFonts w:ascii="仿宋" w:hAnsi="仿宋" w:eastAsia="仿宋"/>
          <w:b/>
          <w:sz w:val="22"/>
          <w:szCs w:val="21"/>
        </w:rPr>
        <w:t>（正本/副本）</w:t>
      </w:r>
    </w:p>
    <w:p>
      <w:pPr>
        <w:spacing w:after="0" w:line="240" w:lineRule="auto"/>
        <w:rPr>
          <w:rFonts w:ascii="仿宋" w:hAnsi="仿宋" w:eastAsia="仿宋"/>
          <w:b/>
          <w:sz w:val="22"/>
          <w:szCs w:val="21"/>
        </w:rPr>
      </w:pPr>
    </w:p>
    <w:p>
      <w:pPr>
        <w:spacing w:after="0" w:line="240" w:lineRule="auto"/>
        <w:rPr>
          <w:rFonts w:ascii="仿宋" w:hAnsi="仿宋" w:eastAsia="仿宋"/>
          <w:b/>
          <w:sz w:val="48"/>
          <w:szCs w:val="21"/>
        </w:rPr>
      </w:pPr>
    </w:p>
    <w:p>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pPr>
        <w:spacing w:after="0" w:line="240" w:lineRule="auto"/>
        <w:rPr>
          <w:rFonts w:asciiTheme="minorEastAsia" w:hAnsiTheme="minorEastAsia" w:eastAsiaTheme="minorEastAsia"/>
          <w:b/>
          <w:sz w:val="48"/>
          <w:szCs w:val="21"/>
        </w:rPr>
      </w:pPr>
    </w:p>
    <w:p>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pPr>
        <w:spacing w:after="0" w:line="240" w:lineRule="auto"/>
        <w:rPr>
          <w:rFonts w:asciiTheme="minorEastAsia" w:hAnsiTheme="minorEastAsia" w:eastAsiaTheme="minorEastAsia"/>
          <w:b/>
          <w:sz w:val="48"/>
          <w:szCs w:val="21"/>
        </w:rPr>
      </w:pPr>
    </w:p>
    <w:p>
      <w:pPr>
        <w:spacing w:after="0" w:line="240" w:lineRule="auto"/>
        <w:rPr>
          <w:rFonts w:asciiTheme="minorEastAsia" w:hAnsiTheme="minorEastAsia" w:eastAsiaTheme="minorEastAsia"/>
          <w:b/>
          <w:sz w:val="48"/>
          <w:szCs w:val="21"/>
        </w:rPr>
      </w:pPr>
    </w:p>
    <w:p>
      <w:pPr>
        <w:spacing w:after="0" w:line="240" w:lineRule="auto"/>
        <w:rPr>
          <w:rFonts w:asciiTheme="minorEastAsia" w:hAnsiTheme="minorEastAsia" w:eastAsiaTheme="minorEastAsia"/>
          <w:b/>
          <w:sz w:val="48"/>
          <w:szCs w:val="21"/>
        </w:rPr>
      </w:pP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        号</w:t>
      </w:r>
      <w:r>
        <w:rPr>
          <w:rFonts w:asciiTheme="minorEastAsia" w:hAnsiTheme="minorEastAsia" w:eastAsiaTheme="minorEastAsia"/>
          <w:b/>
          <w:sz w:val="48"/>
          <w:szCs w:val="21"/>
        </w:rPr>
        <w:t>：</w:t>
      </w:r>
    </w:p>
    <w:p>
      <w:pPr>
        <w:spacing w:after="0" w:line="240" w:lineRule="auto"/>
        <w:ind w:firstLine="1185" w:firstLineChars="246"/>
        <w:jc w:val="center"/>
        <w:rPr>
          <w:rFonts w:asciiTheme="minorEastAsia" w:hAnsiTheme="minorEastAsia" w:eastAsiaTheme="minorEastAsia"/>
          <w:b/>
          <w:sz w:val="48"/>
          <w:szCs w:val="21"/>
        </w:rPr>
      </w:pPr>
    </w:p>
    <w:p>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56"/>
      <w:bookmarkEnd w:id="157"/>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u w:val="single"/>
        </w:rPr>
        <w:t>XXXX</w:t>
      </w:r>
      <w:r>
        <w:rPr>
          <w:rFonts w:hint="eastAsia" w:ascii="仿宋" w:hAnsi="仿宋" w:eastAsia="仿宋"/>
          <w:sz w:val="22"/>
          <w:szCs w:val="21"/>
        </w:rPr>
        <w:t>份。</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pPr>
        <w:widowControl/>
        <w:spacing w:after="0" w:line="240" w:lineRule="auto"/>
        <w:jc w:val="left"/>
        <w:outlineLvl w:val="1"/>
        <w:rPr>
          <w:rFonts w:ascii="仿宋" w:hAnsi="仿宋" w:eastAsia="仿宋"/>
          <w:b/>
          <w:sz w:val="22"/>
          <w:szCs w:val="21"/>
        </w:rPr>
      </w:pPr>
      <w:bookmarkStart w:id="160" w:name="_Toc308164824"/>
      <w:r>
        <w:rPr>
          <w:rFonts w:hint="eastAsia" w:ascii="仿宋" w:hAnsi="仿宋" w:eastAsia="仿宋"/>
          <w:b/>
          <w:sz w:val="22"/>
          <w:szCs w:val="21"/>
        </w:rPr>
        <w:br w:type="page"/>
      </w:r>
      <w:r>
        <w:rPr>
          <w:rFonts w:hint="eastAsia" w:ascii="仿宋" w:hAnsi="仿宋" w:eastAsia="仿宋"/>
          <w:b/>
          <w:sz w:val="22"/>
          <w:szCs w:val="21"/>
        </w:rPr>
        <w:t>格式2-3</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（实质性要求）</w:t>
      </w:r>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四川省药械监督及价格监管平台当前最低价，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我方对上述承诺的内容事项真实性负责。如经查实上述承诺的内容事项存在虚假，我方愿意接受以提供虚假材料谋取中选追究法律责任。</w:t>
      </w:r>
    </w:p>
    <w:p>
      <w:pPr>
        <w:widowControl/>
        <w:spacing w:after="0" w:line="240" w:lineRule="auto"/>
        <w:ind w:firstLine="431" w:firstLineChars="196"/>
        <w:jc w:val="left"/>
        <w:outlineLvl w:val="1"/>
        <w:rPr>
          <w:rFonts w:ascii="仿宋" w:hAnsi="仿宋" w:eastAsia="仿宋"/>
          <w:sz w:val="22"/>
          <w:szCs w:val="21"/>
        </w:rPr>
      </w:pPr>
    </w:p>
    <w:p>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53"/>
    <w:bookmarkEnd w:id="160"/>
    <w:p>
      <w:pPr>
        <w:spacing w:after="0" w:line="240" w:lineRule="auto"/>
        <w:ind w:firstLine="442" w:firstLineChars="200"/>
        <w:jc w:val="center"/>
        <w:rPr>
          <w:rFonts w:ascii="仿宋" w:hAnsi="仿宋" w:eastAsia="仿宋"/>
          <w:b/>
          <w:sz w:val="22"/>
          <w:szCs w:val="21"/>
        </w:rPr>
      </w:pPr>
      <w:bookmarkStart w:id="161" w:name="_Toc217446085"/>
      <w:r>
        <w:rPr>
          <w:rFonts w:hint="eastAsia" w:ascii="仿宋" w:hAnsi="仿宋" w:eastAsia="仿宋"/>
          <w:b/>
          <w:sz w:val="22"/>
          <w:szCs w:val="21"/>
        </w:rPr>
        <w:t>三、遴选推荐供应目录</w:t>
      </w:r>
      <w:bookmarkEnd w:id="161"/>
    </w:p>
    <w:p>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8"/>
    <w:p>
      <w:pPr>
        <w:widowControl/>
        <w:spacing w:after="0" w:line="240" w:lineRule="auto"/>
        <w:ind w:firstLine="433" w:firstLineChars="196"/>
        <w:jc w:val="left"/>
        <w:outlineLvl w:val="1"/>
        <w:rPr>
          <w:rFonts w:ascii="仿宋" w:hAnsi="仿宋" w:eastAsia="仿宋"/>
          <w:b/>
          <w:sz w:val="22"/>
          <w:szCs w:val="21"/>
        </w:rPr>
      </w:pPr>
      <w:bookmarkStart w:id="162" w:name="_Toc217446087"/>
      <w:bookmarkStart w:id="163" w:name="PO_默认文件内容_26"/>
      <w:r>
        <w:rPr>
          <w:rFonts w:hint="eastAsia" w:ascii="仿宋" w:hAnsi="仿宋" w:eastAsia="仿宋"/>
          <w:b/>
          <w:sz w:val="22"/>
          <w:szCs w:val="21"/>
        </w:rPr>
        <w:t>格式2-5</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62"/>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spacing w:after="0" w:line="240" w:lineRule="auto"/>
              <w:jc w:val="left"/>
              <w:rPr>
                <w:rFonts w:ascii="仿宋" w:hAnsi="仿宋" w:eastAsia="仿宋" w:cs="宋体"/>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spacing w:after="0" w:line="240" w:lineRule="auto"/>
              <w:jc w:val="left"/>
              <w:rPr>
                <w:rFonts w:ascii="仿宋" w:hAnsi="仿宋" w:eastAsia="仿宋" w:cs="宋体"/>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widowControl/>
              <w:spacing w:after="0" w:line="240" w:lineRule="auto"/>
              <w:ind w:firstLine="431" w:firstLineChars="196"/>
              <w:jc w:val="left"/>
              <w:outlineLvl w:val="1"/>
              <w:rPr>
                <w:rFonts w:ascii="仿宋" w:hAnsi="仿宋" w:eastAsia="仿宋"/>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widowControl/>
              <w:spacing w:after="0" w:line="240" w:lineRule="auto"/>
              <w:ind w:firstLine="431" w:firstLineChars="196"/>
              <w:jc w:val="left"/>
              <w:outlineLvl w:val="1"/>
              <w:rPr>
                <w:rFonts w:ascii="仿宋" w:hAnsi="仿宋" w:eastAsia="仿宋"/>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第六章全部商务要求</w:t>
      </w:r>
      <w:r>
        <w:rPr>
          <w:rFonts w:hint="eastAsia" w:ascii="仿宋" w:hAnsi="仿宋" w:eastAsia="仿宋"/>
          <w:sz w:val="22"/>
          <w:szCs w:val="21"/>
        </w:rPr>
        <w:t>列入此表。</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
          <w:sz w:val="22"/>
          <w:szCs w:val="21"/>
          <w:highlight w:val="yellow"/>
        </w:rPr>
      </w:pPr>
      <w:bookmarkStart w:id="164" w:name="_Toc217446088"/>
      <w:r>
        <w:rPr>
          <w:rFonts w:hint="eastAsia" w:ascii="仿宋" w:hAnsi="仿宋" w:eastAsia="仿宋"/>
          <w:b/>
          <w:sz w:val="22"/>
          <w:szCs w:val="21"/>
        </w:rPr>
        <w:br w:type="page"/>
      </w:r>
      <w:r>
        <w:rPr>
          <w:rFonts w:hint="eastAsia" w:ascii="仿宋" w:hAnsi="仿宋" w:eastAsia="仿宋"/>
          <w:b/>
          <w:sz w:val="22"/>
          <w:szCs w:val="21"/>
        </w:rPr>
        <w:t>格式2-6</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64"/>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spacing w:after="0" w:line="240" w:lineRule="auto"/>
              <w:rPr>
                <w:rFonts w:ascii="仿宋" w:hAnsi="仿宋" w:eastAsia="仿宋"/>
                <w:sz w:val="22"/>
                <w:szCs w:val="21"/>
              </w:rPr>
            </w:pP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
          <w:sz w:val="22"/>
          <w:szCs w:val="21"/>
        </w:rPr>
      </w:pPr>
      <w:bookmarkStart w:id="165" w:name="_Toc217446089"/>
      <w:r>
        <w:rPr>
          <w:rFonts w:hint="eastAsia" w:ascii="仿宋" w:hAnsi="仿宋" w:eastAsia="仿宋"/>
          <w:b/>
          <w:sz w:val="22"/>
          <w:szCs w:val="21"/>
        </w:rPr>
        <w:br w:type="page"/>
      </w:r>
      <w:r>
        <w:rPr>
          <w:rFonts w:hint="eastAsia" w:ascii="仿宋" w:hAnsi="仿宋" w:eastAsia="仿宋"/>
          <w:b/>
          <w:sz w:val="22"/>
          <w:szCs w:val="21"/>
        </w:rPr>
        <w:t>格式2-7</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65"/>
    </w:p>
    <w:p>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pPr>
        <w:spacing w:after="0" w:line="240" w:lineRule="auto"/>
        <w:rPr>
          <w:rFonts w:ascii="仿宋" w:hAnsi="仿宋" w:eastAsia="仿宋"/>
          <w:b/>
          <w:sz w:val="22"/>
          <w:szCs w:val="21"/>
        </w:rPr>
      </w:pPr>
      <w:bookmarkStart w:id="166" w:name="_Toc217446091"/>
      <w:r>
        <w:rPr>
          <w:rFonts w:hint="eastAsia" w:ascii="仿宋" w:hAnsi="仿宋" w:eastAsia="仿宋"/>
          <w:b/>
          <w:sz w:val="22"/>
          <w:szCs w:val="21"/>
        </w:rPr>
        <w:br w:type="page"/>
      </w:r>
      <w:r>
        <w:rPr>
          <w:rFonts w:hint="eastAsia" w:ascii="仿宋" w:hAnsi="仿宋" w:eastAsia="仿宋"/>
          <w:b/>
          <w:sz w:val="22"/>
          <w:szCs w:val="21"/>
        </w:rPr>
        <w:t>格式2-11</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66"/>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51"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spacing w:after="0" w:line="240" w:lineRule="auto"/>
              <w:rPr>
                <w:rFonts w:ascii="仿宋" w:hAnsi="仿宋" w:eastAsia="仿宋"/>
                <w:sz w:val="22"/>
                <w:szCs w:val="21"/>
              </w:rPr>
            </w:pPr>
          </w:p>
        </w:tc>
        <w:tc>
          <w:tcPr>
            <w:tcW w:w="807" w:type="dxa"/>
            <w:tcBorders>
              <w:bottom w:val="single" w:color="auto" w:sz="4" w:space="0"/>
            </w:tcBorders>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3" w:firstLineChars="196"/>
        <w:jc w:val="left"/>
        <w:outlineLvl w:val="1"/>
        <w:rPr>
          <w:rFonts w:ascii="仿宋" w:hAnsi="仿宋" w:eastAsia="仿宋"/>
          <w:b/>
          <w:sz w:val="22"/>
          <w:szCs w:val="21"/>
        </w:rPr>
      </w:pP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pPr>
        <w:spacing w:after="0" w:line="240" w:lineRule="auto"/>
        <w:rPr>
          <w:rFonts w:ascii="仿宋" w:hAnsi="仿宋" w:eastAsia="仿宋"/>
          <w:bCs/>
          <w:sz w:val="22"/>
          <w:szCs w:val="21"/>
        </w:rPr>
      </w:pPr>
    </w:p>
    <w:p>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pPr>
        <w:spacing w:after="0" w:line="240" w:lineRule="auto"/>
        <w:ind w:firstLine="440" w:firstLineChars="200"/>
        <w:rPr>
          <w:rFonts w:ascii="仿宋" w:hAnsi="仿宋" w:eastAsia="仿宋"/>
          <w:bCs/>
          <w:sz w:val="22"/>
          <w:szCs w:val="21"/>
        </w:rPr>
      </w:pPr>
    </w:p>
    <w:p>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pPr>
        <w:spacing w:after="0" w:line="240" w:lineRule="auto"/>
        <w:ind w:firstLine="440" w:firstLineChars="200"/>
        <w:rPr>
          <w:rFonts w:ascii="仿宋" w:hAnsi="仿宋" w:eastAsia="仿宋"/>
          <w:sz w:val="22"/>
          <w:szCs w:val="21"/>
        </w:rPr>
      </w:pP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pPr>
        <w:spacing w:after="0" w:line="240" w:lineRule="auto"/>
        <w:rPr>
          <w:rFonts w:ascii="仿宋" w:hAnsi="仿宋" w:eastAsia="仿宋"/>
          <w:bCs/>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Cs/>
          <w:sz w:val="22"/>
          <w:szCs w:val="21"/>
        </w:rPr>
      </w:pPr>
    </w:p>
    <w:p>
      <w:pPr>
        <w:spacing w:after="0" w:line="240" w:lineRule="auto"/>
        <w:rPr>
          <w:rFonts w:ascii="仿宋" w:hAnsi="仿宋" w:eastAsia="仿宋"/>
          <w:bCs/>
          <w:sz w:val="22"/>
          <w:szCs w:val="21"/>
        </w:rPr>
      </w:pPr>
      <w:r>
        <w:rPr>
          <w:rFonts w:hint="eastAsia" w:ascii="仿宋" w:hAnsi="仿宋" w:eastAsia="仿宋"/>
          <w:bCs/>
          <w:sz w:val="22"/>
          <w:szCs w:val="21"/>
        </w:rPr>
        <w:t>注：</w:t>
      </w:r>
    </w:p>
    <w:p>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67" w:name="_Toc28654"/>
      <w:bookmarkStart w:id="168" w:name="_Toc28495"/>
    </w:p>
    <w:p>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第四章  供应商和遴选产品的资格、资质性及其他类似效力要求</w:t>
      </w:r>
      <w:bookmarkEnd w:id="167"/>
      <w:bookmarkEnd w:id="168"/>
    </w:p>
    <w:p>
      <w:pPr>
        <w:pStyle w:val="4"/>
        <w:spacing w:before="0" w:after="0" w:line="240" w:lineRule="auto"/>
        <w:rPr>
          <w:rFonts w:ascii="仿宋" w:hAnsi="仿宋" w:eastAsia="仿宋"/>
          <w:sz w:val="22"/>
          <w:szCs w:val="21"/>
        </w:rPr>
      </w:pPr>
      <w:r>
        <w:rPr>
          <w:rFonts w:hint="eastAsia" w:ascii="仿宋" w:hAnsi="仿宋" w:eastAsia="仿宋"/>
          <w:sz w:val="22"/>
          <w:szCs w:val="21"/>
        </w:rPr>
        <w:t>一、供应商资格、资质性及其他类似效力要求</w:t>
      </w:r>
    </w:p>
    <w:p>
      <w:pPr>
        <w:pStyle w:val="43"/>
        <w:spacing w:after="0" w:line="240" w:lineRule="auto"/>
        <w:ind w:firstLine="0" w:firstLineChars="0"/>
        <w:rPr>
          <w:rFonts w:ascii="仿宋" w:hAnsi="仿宋" w:eastAsia="仿宋"/>
          <w:b/>
          <w:bCs/>
          <w:sz w:val="22"/>
          <w:szCs w:val="21"/>
        </w:rPr>
      </w:pPr>
      <w:r>
        <w:rPr>
          <w:rFonts w:ascii="仿宋" w:hAnsi="仿宋" w:eastAsia="仿宋"/>
          <w:b/>
          <w:bCs/>
          <w:sz w:val="22"/>
          <w:szCs w:val="21"/>
        </w:rPr>
        <w:t>（一）</w:t>
      </w:r>
      <w:r>
        <w:rPr>
          <w:rFonts w:hint="eastAsia" w:ascii="仿宋" w:hAnsi="仿宋" w:eastAsia="仿宋"/>
          <w:b/>
          <w:bCs/>
          <w:sz w:val="22"/>
          <w:szCs w:val="21"/>
        </w:rPr>
        <w:t>资格要求：</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w:t>
      </w:r>
      <w:r>
        <w:rPr>
          <w:rFonts w:ascii="仿宋" w:hAnsi="仿宋" w:eastAsia="仿宋"/>
          <w:sz w:val="22"/>
          <w:szCs w:val="21"/>
        </w:rPr>
        <w:t>；</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2、具有良好的商业信誉和健全的财务会计制度；</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3、具有履行合同所必须的设备和专业技术能力；</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4、具有依法缴纳税收和社会保障资金的良好记录；</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5、参加本次遴选采购活动前三年内，在经营活动中没有重大违法记录；</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6、符合法律、行政法规规定的其他条件；</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7、根据采购项目提出的特殊条件；</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w:t>
      </w:r>
    </w:p>
    <w:p>
      <w:pPr>
        <w:pStyle w:val="43"/>
        <w:spacing w:after="0" w:line="240" w:lineRule="auto"/>
        <w:ind w:firstLine="0" w:firstLineChars="0"/>
        <w:rPr>
          <w:rFonts w:ascii="仿宋" w:hAnsi="仿宋" w:eastAsia="仿宋"/>
          <w:sz w:val="22"/>
          <w:szCs w:val="21"/>
        </w:rPr>
      </w:pPr>
      <w:r>
        <w:rPr>
          <w:rFonts w:hint="eastAsia" w:ascii="仿宋" w:hAnsi="仿宋" w:eastAsia="仿宋" w:cs="宋体"/>
          <w:sz w:val="22"/>
          <w:szCs w:val="21"/>
        </w:rPr>
        <w:t>7.2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8、本项目不允许联合体参加。</w:t>
      </w:r>
    </w:p>
    <w:p>
      <w:pPr>
        <w:tabs>
          <w:tab w:val="left" w:pos="7665"/>
        </w:tabs>
        <w:spacing w:after="0" w:line="240" w:lineRule="auto"/>
        <w:rPr>
          <w:rFonts w:ascii="仿宋" w:hAnsi="仿宋" w:eastAsia="仿宋"/>
          <w:sz w:val="22"/>
          <w:szCs w:val="21"/>
        </w:rPr>
      </w:pPr>
      <w:r>
        <w:rPr>
          <w:rFonts w:hint="eastAsia" w:ascii="仿宋" w:hAnsi="仿宋" w:eastAsia="仿宋" w:cs="宋体"/>
          <w:sz w:val="22"/>
          <w:szCs w:val="21"/>
        </w:rPr>
        <w:t>9、</w:t>
      </w:r>
      <w:r>
        <w:rPr>
          <w:rFonts w:hint="eastAsia" w:ascii="仿宋" w:hAnsi="仿宋" w:eastAsia="仿宋"/>
          <w:spacing w:val="-4"/>
          <w:sz w:val="22"/>
          <w:szCs w:val="21"/>
        </w:rPr>
        <w:t>按照规定购买了遴选评议文件</w:t>
      </w:r>
      <w:r>
        <w:rPr>
          <w:rFonts w:hint="eastAsia" w:ascii="仿宋" w:hAnsi="仿宋" w:eastAsia="仿宋"/>
          <w:sz w:val="22"/>
          <w:szCs w:val="21"/>
        </w:rPr>
        <w:t>。</w:t>
      </w:r>
    </w:p>
    <w:p>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（二）资质性要求：无</w:t>
      </w:r>
    </w:p>
    <w:p>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（三）其他类似效力要求：</w:t>
      </w:r>
    </w:p>
    <w:p>
      <w:pPr>
        <w:pStyle w:val="43"/>
        <w:spacing w:after="0" w:line="240" w:lineRule="auto"/>
        <w:ind w:firstLine="0" w:firstLineChars="0"/>
        <w:rPr>
          <w:rFonts w:ascii="仿宋" w:hAnsi="仿宋" w:eastAsia="仿宋"/>
          <w:b/>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）授权参加本次遴选活动的供应商代表证明材料</w:t>
      </w:r>
    </w:p>
    <w:p>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遴选产品的资格、资质性及其他具有类似效力的要求</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w:t>
      </w:r>
    </w:p>
    <w:p>
      <w:pPr>
        <w:spacing w:after="0" w:line="240" w:lineRule="auto"/>
        <w:rPr>
          <w:rFonts w:ascii="仿宋" w:hAnsi="仿宋" w:eastAsia="仿宋"/>
          <w:b/>
          <w:bCs/>
          <w:sz w:val="22"/>
          <w:szCs w:val="21"/>
        </w:rPr>
      </w:pPr>
      <w:r>
        <w:rPr>
          <w:rFonts w:hint="eastAsia" w:ascii="仿宋" w:hAnsi="仿宋" w:eastAsia="仿宋" w:cs="宋体"/>
          <w:sz w:val="22"/>
          <w:szCs w:val="21"/>
        </w:rPr>
        <w:t>（1）若采购产品为医疗器械的，遴选产品须符合《医疗器械注册管理办法》要求并提供产品的注册/备案证明材料。</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（三）其他类似效力要求：无</w:t>
      </w:r>
    </w:p>
    <w:p>
      <w:pPr>
        <w:pStyle w:val="43"/>
        <w:spacing w:after="0" w:line="240" w:lineRule="auto"/>
        <w:ind w:firstLine="0" w:firstLineChars="0"/>
        <w:rPr>
          <w:rFonts w:ascii="仿宋" w:hAnsi="仿宋" w:eastAsia="仿宋"/>
          <w:b/>
          <w:sz w:val="22"/>
          <w:szCs w:val="21"/>
        </w:rPr>
      </w:pPr>
    </w:p>
    <w:p>
      <w:pPr>
        <w:pStyle w:val="43"/>
        <w:spacing w:after="0" w:line="240" w:lineRule="auto"/>
        <w:ind w:firstLine="0" w:firstLineChars="0"/>
        <w:rPr>
          <w:rFonts w:ascii="仿宋" w:hAnsi="仿宋" w:eastAsia="仿宋"/>
          <w:b/>
          <w:sz w:val="22"/>
          <w:szCs w:val="21"/>
        </w:rPr>
      </w:pPr>
    </w:p>
    <w:p>
      <w:pPr>
        <w:pStyle w:val="43"/>
        <w:spacing w:after="0" w:line="240" w:lineRule="auto"/>
        <w:ind w:firstLine="0" w:firstLineChars="0"/>
        <w:rPr>
          <w:rFonts w:ascii="仿宋" w:hAnsi="仿宋" w:eastAsia="仿宋"/>
          <w:b/>
          <w:sz w:val="22"/>
          <w:szCs w:val="21"/>
        </w:rPr>
      </w:pPr>
      <w:r>
        <w:rPr>
          <w:rFonts w:hint="eastAsia" w:ascii="仿宋" w:hAnsi="仿宋" w:eastAsia="仿宋"/>
          <w:b/>
          <w:sz w:val="22"/>
          <w:szCs w:val="21"/>
        </w:rPr>
        <w:t>注：1、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pStyle w:val="43"/>
        <w:numPr>
          <w:ilvl w:val="0"/>
          <w:numId w:val="2"/>
        </w:numPr>
        <w:spacing w:after="0" w:line="240" w:lineRule="auto"/>
        <w:ind w:left="197" w:leftChars="0" w:firstLine="433" w:firstLineChars="0"/>
        <w:rPr>
          <w:rFonts w:ascii="仿宋" w:hAnsi="仿宋" w:eastAsia="仿宋"/>
          <w:b/>
          <w:sz w:val="22"/>
          <w:szCs w:val="21"/>
        </w:rPr>
      </w:pP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pPr>
        <w:pStyle w:val="3"/>
        <w:spacing w:before="0" w:after="0" w:line="240" w:lineRule="auto"/>
        <w:jc w:val="center"/>
        <w:rPr>
          <w:rFonts w:ascii="仿宋" w:hAnsi="仿宋" w:eastAsia="仿宋"/>
          <w:sz w:val="22"/>
          <w:szCs w:val="21"/>
        </w:rPr>
      </w:pPr>
      <w:bookmarkStart w:id="169" w:name="_Toc3806"/>
      <w:bookmarkStart w:id="170" w:name="_Toc1588"/>
      <w:r>
        <w:rPr>
          <w:rFonts w:hint="eastAsia" w:ascii="仿宋" w:hAnsi="仿宋" w:eastAsia="仿宋"/>
          <w:sz w:val="22"/>
          <w:szCs w:val="21"/>
        </w:rPr>
        <w:br w:type="page"/>
      </w:r>
      <w:r>
        <w:rPr>
          <w:rFonts w:hint="eastAsia" w:ascii="仿宋" w:hAnsi="仿宋" w:eastAsia="仿宋"/>
          <w:sz w:val="22"/>
          <w:szCs w:val="21"/>
        </w:rPr>
        <w:t>第五章  供应商应当提供的资格、资质性及其他类似效力要求的相关证明材料</w:t>
      </w:r>
      <w:bookmarkEnd w:id="169"/>
      <w:bookmarkEnd w:id="170"/>
    </w:p>
    <w:p>
      <w:pPr>
        <w:spacing w:after="0" w:line="240" w:lineRule="auto"/>
        <w:rPr>
          <w:rFonts w:ascii="仿宋" w:hAnsi="仿宋" w:eastAsia="仿宋"/>
          <w:sz w:val="22"/>
          <w:szCs w:val="21"/>
        </w:rPr>
      </w:pPr>
    </w:p>
    <w:p>
      <w:pPr>
        <w:pStyle w:val="4"/>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w:t>
      </w:r>
      <w:r>
        <w:rPr>
          <w:rFonts w:hint="eastAsia" w:ascii="仿宋" w:hAnsi="仿宋" w:eastAsia="仿宋"/>
          <w:sz w:val="22"/>
          <w:szCs w:val="21"/>
          <w:lang w:val="en-US" w:eastAsia="zh-CN"/>
        </w:rPr>
        <w:t>2021</w:t>
      </w:r>
      <w:r>
        <w:rPr>
          <w:rFonts w:hint="eastAsia" w:ascii="仿宋" w:hAnsi="仿宋" w:eastAsia="仿宋"/>
          <w:sz w:val="22"/>
          <w:szCs w:val="21"/>
        </w:rPr>
        <w:t>或</w:t>
      </w:r>
      <w:r>
        <w:rPr>
          <w:rFonts w:hint="eastAsia" w:ascii="仿宋" w:hAnsi="仿宋" w:eastAsia="仿宋"/>
          <w:sz w:val="22"/>
          <w:szCs w:val="21"/>
          <w:lang w:val="en-US" w:eastAsia="zh-CN"/>
        </w:rPr>
        <w:t>2022</w:t>
      </w:r>
      <w:r>
        <w:rPr>
          <w:rFonts w:hint="eastAsia" w:ascii="仿宋" w:hAnsi="仿宋" w:eastAsia="仿宋"/>
          <w:sz w:val="22"/>
          <w:szCs w:val="21"/>
        </w:rPr>
        <w:t>年度经审计的财务报告复印件（包含审计报告和审计报告中所涉及的财务报表和报表附注），②也可提供</w:t>
      </w:r>
      <w:r>
        <w:rPr>
          <w:rFonts w:hint="eastAsia" w:ascii="仿宋" w:hAnsi="仿宋" w:eastAsia="仿宋"/>
          <w:sz w:val="22"/>
          <w:szCs w:val="21"/>
          <w:lang w:val="en-US" w:eastAsia="zh-CN"/>
        </w:rPr>
        <w:t>2021</w:t>
      </w:r>
      <w:r>
        <w:rPr>
          <w:rFonts w:hint="eastAsia" w:ascii="仿宋" w:hAnsi="仿宋" w:eastAsia="仿宋"/>
          <w:sz w:val="22"/>
          <w:szCs w:val="21"/>
        </w:rPr>
        <w:t>或202</w:t>
      </w:r>
      <w:r>
        <w:rPr>
          <w:rFonts w:hint="eastAsia" w:ascii="仿宋" w:hAnsi="仿宋" w:eastAsia="仿宋"/>
          <w:sz w:val="22"/>
          <w:szCs w:val="21"/>
          <w:lang w:val="en-US" w:eastAsia="zh-CN"/>
        </w:rPr>
        <w:t>2</w:t>
      </w:r>
      <w:r>
        <w:rPr>
          <w:rFonts w:hint="eastAsia" w:ascii="仿宋" w:hAnsi="仿宋" w:eastAsia="仿宋"/>
          <w:sz w:val="22"/>
          <w:szCs w:val="21"/>
        </w:rPr>
        <w:t>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pPr>
        <w:spacing w:after="0" w:line="240" w:lineRule="auto"/>
        <w:rPr>
          <w:rFonts w:ascii="仿宋" w:hAnsi="仿宋" w:eastAsia="仿宋"/>
          <w:sz w:val="22"/>
          <w:szCs w:val="21"/>
        </w:rPr>
      </w:pPr>
    </w:p>
    <w:p>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71" w:name="_Toc2122"/>
      <w:bookmarkStart w:id="172"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63"/>
    </w:p>
    <w:p>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p>
    <w:p>
      <w:pPr>
        <w:pStyle w:val="3"/>
        <w:spacing w:before="0" w:after="0" w:line="240" w:lineRule="auto"/>
        <w:jc w:val="center"/>
        <w:rPr>
          <w:rFonts w:ascii="仿宋" w:hAnsi="仿宋" w:eastAsia="仿宋"/>
          <w:sz w:val="22"/>
          <w:szCs w:val="21"/>
        </w:rPr>
      </w:pPr>
      <w:bookmarkStart w:id="173" w:name="PO_默认文件内容_32"/>
      <w:r>
        <w:rPr>
          <w:rFonts w:hint="eastAsia" w:ascii="仿宋" w:hAnsi="仿宋" w:eastAsia="仿宋"/>
          <w:sz w:val="22"/>
          <w:szCs w:val="21"/>
        </w:rPr>
        <w:t>第六章  遴选项目技术、服务、遴选采购合同内容条款及其他商务要求</w:t>
      </w:r>
      <w:bookmarkEnd w:id="171"/>
    </w:p>
    <w:bookmarkEnd w:id="172"/>
    <w:p>
      <w:pPr>
        <w:pStyle w:val="4"/>
        <w:spacing w:before="0" w:after="0" w:line="240" w:lineRule="auto"/>
        <w:ind w:firstLine="216" w:firstLineChars="98"/>
        <w:rPr>
          <w:rFonts w:ascii="仿宋" w:hAnsi="仿宋" w:eastAsia="仿宋"/>
          <w:sz w:val="22"/>
          <w:szCs w:val="21"/>
        </w:rPr>
      </w:pPr>
      <w:bookmarkStart w:id="174" w:name="_Toc217446094"/>
      <w:r>
        <w:rPr>
          <w:rFonts w:hint="eastAsia" w:ascii="仿宋" w:hAnsi="仿宋" w:eastAsia="仿宋"/>
          <w:sz w:val="22"/>
          <w:szCs w:val="21"/>
        </w:rPr>
        <w:t>前提：本章中选注“*”的条款为本项目的实质性条款，供应商不满足的，将按照无效遴选处理。</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一、项目概述</w:t>
      </w:r>
      <w:bookmarkEnd w:id="174"/>
    </w:p>
    <w:p>
      <w:pPr>
        <w:spacing w:afterLines="50" w:line="240" w:lineRule="auto"/>
        <w:ind w:firstLine="424" w:firstLineChars="200"/>
        <w:rPr>
          <w:rFonts w:ascii="仿宋" w:hAnsi="仿宋" w:eastAsia="仿宋"/>
          <w:spacing w:val="-4"/>
          <w:sz w:val="22"/>
          <w:szCs w:val="21"/>
        </w:rPr>
      </w:pPr>
      <w:bookmarkStart w:id="175" w:name="_Toc217446095"/>
      <w:r>
        <w:rPr>
          <w:rFonts w:hint="eastAsia" w:ascii="仿宋" w:hAnsi="仿宋" w:eastAsia="仿宋"/>
          <w:spacing w:val="-4"/>
          <w:sz w:val="22"/>
          <w:szCs w:val="21"/>
        </w:rPr>
        <w:t>本次遴选评议内容详见《医用耗材遴选供应推荐目录》</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二、商务要求</w:t>
      </w:r>
    </w:p>
    <w:p>
      <w:pPr>
        <w:spacing w:after="0" w:line="240" w:lineRule="auto"/>
        <w:rPr>
          <w:rFonts w:ascii="仿宋" w:hAnsi="仿宋" w:eastAsia="仿宋"/>
          <w:bCs/>
          <w:sz w:val="22"/>
          <w:szCs w:val="21"/>
        </w:rPr>
      </w:pPr>
      <w:r>
        <w:rPr>
          <w:rFonts w:hint="eastAsia" w:ascii="仿宋" w:hAnsi="仿宋" w:eastAsia="仿宋"/>
          <w:bCs/>
          <w:sz w:val="22"/>
          <w:szCs w:val="21"/>
        </w:rPr>
        <w:t>*1．交货期及地点</w:t>
      </w:r>
    </w:p>
    <w:p>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1</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 </w:t>
      </w:r>
    </w:p>
    <w:p>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pPr>
        <w:numPr>
          <w:ilvl w:val="0"/>
          <w:numId w:val="0"/>
        </w:numPr>
        <w:spacing w:after="0" w:line="240" w:lineRule="auto"/>
        <w:ind w:leftChars="0"/>
        <w:rPr>
          <w:rFonts w:ascii="仿宋" w:hAnsi="仿宋" w:eastAsia="仿宋"/>
          <w:sz w:val="22"/>
          <w:szCs w:val="21"/>
        </w:rPr>
      </w:pPr>
      <w:r>
        <w:rPr>
          <w:rFonts w:hint="eastAsia" w:ascii="仿宋" w:hAnsi="仿宋" w:eastAsia="仿宋"/>
          <w:sz w:val="22"/>
          <w:szCs w:val="21"/>
        </w:rPr>
        <w:t>1.2 交货地点: 四川省骨科医院指定地点</w:t>
      </w:r>
    </w:p>
    <w:p>
      <w:pPr>
        <w:spacing w:after="0" w:line="240" w:lineRule="auto"/>
        <w:rPr>
          <w:rFonts w:ascii="仿宋" w:hAnsi="仿宋" w:eastAsia="仿宋"/>
          <w:bCs/>
          <w:sz w:val="22"/>
          <w:szCs w:val="21"/>
        </w:rPr>
      </w:pPr>
      <w:r>
        <w:rPr>
          <w:rFonts w:hint="eastAsia" w:ascii="仿宋" w:hAnsi="仿宋" w:eastAsia="仿宋"/>
          <w:bCs/>
          <w:sz w:val="22"/>
          <w:szCs w:val="21"/>
        </w:rPr>
        <w:t>*2．付款方法和条件：</w:t>
      </w:r>
    </w:p>
    <w:p>
      <w:pPr>
        <w:pStyle w:val="41"/>
        <w:spacing w:after="0" w:line="240" w:lineRule="auto"/>
        <w:ind w:firstLine="440"/>
        <w:rPr>
          <w:rFonts w:ascii="仿宋" w:hAnsi="仿宋" w:eastAsia="仿宋"/>
          <w:sz w:val="22"/>
          <w:szCs w:val="21"/>
        </w:rPr>
      </w:pPr>
      <w:r>
        <w:rPr>
          <w:rFonts w:hint="eastAsia" w:ascii="仿宋" w:hAnsi="仿宋" w:eastAsia="仿宋"/>
          <w:sz w:val="22"/>
          <w:szCs w:val="21"/>
        </w:rPr>
        <w:t>2.1乙方按正常途径供货并办理入库手续后，甲方凭乙方开具的送货清单、发票与</w:t>
      </w:r>
      <w:r>
        <w:rPr>
          <w:rFonts w:ascii="仿宋" w:hAnsi="仿宋" w:eastAsia="仿宋"/>
          <w:sz w:val="22"/>
          <w:szCs w:val="21"/>
        </w:rPr>
        <w:t>入库单等原始材料</w:t>
      </w:r>
      <w:r>
        <w:rPr>
          <w:rFonts w:hint="eastAsia" w:ascii="仿宋" w:hAnsi="仿宋" w:eastAsia="仿宋"/>
          <w:sz w:val="22"/>
          <w:szCs w:val="21"/>
        </w:rPr>
        <w:t>，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2.2方式：电汇、</w:t>
      </w:r>
      <w:r>
        <w:rPr>
          <w:rFonts w:ascii="仿宋" w:hAnsi="仿宋" w:eastAsia="仿宋"/>
          <w:sz w:val="22"/>
          <w:szCs w:val="21"/>
        </w:rPr>
        <w:t>支票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2.3期限：原则上每半年支付货款，若有调整，按医院现行规定执行</w:t>
      </w:r>
    </w:p>
    <w:p>
      <w:pPr>
        <w:spacing w:after="0" w:line="240" w:lineRule="auto"/>
        <w:rPr>
          <w:rFonts w:ascii="仿宋" w:hAnsi="仿宋" w:eastAsia="仿宋"/>
          <w:bCs/>
          <w:sz w:val="22"/>
          <w:szCs w:val="21"/>
        </w:rPr>
      </w:pPr>
      <w:r>
        <w:rPr>
          <w:rFonts w:hint="eastAsia" w:ascii="仿宋" w:hAnsi="仿宋" w:eastAsia="仿宋"/>
          <w:bCs/>
          <w:sz w:val="22"/>
          <w:szCs w:val="21"/>
        </w:rPr>
        <w:t>*3.</w:t>
      </w:r>
      <w:r>
        <w:rPr>
          <w:rFonts w:hint="eastAsia" w:ascii="仿宋" w:hAnsi="仿宋" w:eastAsia="仿宋"/>
          <w:sz w:val="22"/>
          <w:szCs w:val="21"/>
        </w:rPr>
        <w:t xml:space="preserve"> </w:t>
      </w:r>
      <w:r>
        <w:rPr>
          <w:rFonts w:hint="eastAsia" w:ascii="仿宋" w:hAnsi="仿宋" w:eastAsia="仿宋"/>
          <w:bCs/>
          <w:sz w:val="22"/>
          <w:szCs w:val="21"/>
        </w:rPr>
        <w:t>售后服务：</w:t>
      </w:r>
    </w:p>
    <w:p>
      <w:pPr>
        <w:pStyle w:val="41"/>
        <w:spacing w:after="0" w:line="240" w:lineRule="auto"/>
        <w:ind w:firstLine="440"/>
        <w:rPr>
          <w:rFonts w:hint="eastAsia" w:ascii="仿宋" w:hAnsi="仿宋" w:eastAsia="仿宋"/>
          <w:sz w:val="22"/>
          <w:szCs w:val="21"/>
        </w:rPr>
      </w:pPr>
      <w:r>
        <w:rPr>
          <w:rFonts w:hint="eastAsia" w:ascii="仿宋" w:hAnsi="仿宋" w:eastAsia="仿宋"/>
          <w:sz w:val="22"/>
          <w:szCs w:val="21"/>
        </w:rPr>
        <w:t>对于售后产品出现的质量问题，经确认后，立即实行“包退、包换”，积极予以解决。常规医用耗材，提供产品有效期应≥12个月，且有效期不足6个月时遴选供应商承诺免费的更换；特殊产品（如化验细胞类），产品有效期≥3个月有效期不足1个月时，遴选供应商承诺免费的更换。</w:t>
      </w:r>
    </w:p>
    <w:p>
      <w:pPr>
        <w:pStyle w:val="41"/>
        <w:spacing w:after="0" w:line="240" w:lineRule="auto"/>
        <w:ind w:firstLine="0" w:firstLineChars="0"/>
        <w:rPr>
          <w:rFonts w:ascii="仿宋" w:hAnsi="仿宋" w:eastAsia="仿宋"/>
          <w:sz w:val="22"/>
          <w:szCs w:val="21"/>
        </w:rPr>
      </w:pPr>
      <w:r>
        <w:rPr>
          <w:rFonts w:hint="eastAsia" w:ascii="仿宋" w:hAnsi="仿宋" w:eastAsia="仿宋"/>
          <w:sz w:val="22"/>
          <w:szCs w:val="21"/>
        </w:rPr>
        <w:t>*4.无条件配合采购人医用耗材精细化管理</w:t>
      </w:r>
      <w:r>
        <w:rPr>
          <w:rFonts w:hint="eastAsia" w:ascii="仿宋" w:hAnsi="仿宋" w:eastAsia="仿宋"/>
          <w:sz w:val="22"/>
          <w:szCs w:val="21"/>
          <w:lang w:eastAsia="zh-CN"/>
        </w:rPr>
        <w:t>（</w:t>
      </w:r>
      <w:r>
        <w:rPr>
          <w:rFonts w:hint="eastAsia" w:ascii="仿宋" w:hAnsi="仿宋" w:eastAsia="仿宋"/>
          <w:sz w:val="22"/>
          <w:szCs w:val="21"/>
          <w:lang w:val="en-US" w:eastAsia="zh-CN"/>
        </w:rPr>
        <w:t>SPD</w:t>
      </w:r>
      <w:r>
        <w:rPr>
          <w:rFonts w:hint="eastAsia" w:ascii="仿宋" w:hAnsi="仿宋" w:eastAsia="仿宋"/>
          <w:sz w:val="22"/>
          <w:szCs w:val="21"/>
          <w:lang w:eastAsia="zh-CN"/>
        </w:rPr>
        <w:t>）</w:t>
      </w:r>
      <w:r>
        <w:rPr>
          <w:rFonts w:hint="eastAsia" w:ascii="仿宋" w:hAnsi="仿宋" w:eastAsia="仿宋"/>
          <w:sz w:val="22"/>
          <w:szCs w:val="21"/>
        </w:rPr>
        <w:t>建设，此过程中不得无故延误采购临床工作。因此造成的采购损失，采购人有权追偿。</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三、服务要求</w:t>
      </w:r>
      <w:bookmarkEnd w:id="175"/>
    </w:p>
    <w:p>
      <w:pPr>
        <w:spacing w:after="0" w:line="240" w:lineRule="auto"/>
        <w:ind w:firstLine="440"/>
        <w:rPr>
          <w:rFonts w:hint="eastAsia" w:ascii="仿宋" w:hAnsi="仿宋" w:eastAsia="仿宋"/>
          <w:sz w:val="22"/>
          <w:szCs w:val="22"/>
          <w:highlight w:val="none"/>
        </w:rPr>
      </w:pPr>
      <w:bookmarkStart w:id="176" w:name="_Toc24786"/>
      <w:bookmarkStart w:id="177" w:name="_Toc31810"/>
      <w:r>
        <w:rPr>
          <w:rFonts w:hint="eastAsia" w:ascii="仿宋" w:hAnsi="仿宋" w:eastAsia="仿宋"/>
          <w:sz w:val="22"/>
          <w:szCs w:val="21"/>
          <w:highlight w:val="none"/>
          <w:lang w:val="en-US" w:eastAsia="zh-CN"/>
        </w:rPr>
        <w:t>1.</w:t>
      </w:r>
      <w:r>
        <w:rPr>
          <w:rFonts w:hint="eastAsia" w:ascii="仿宋" w:hAnsi="仿宋" w:eastAsia="仿宋"/>
          <w:sz w:val="22"/>
          <w:szCs w:val="21"/>
          <w:highlight w:val="none"/>
        </w:rPr>
        <w:t>遴选评议结果有效期三年，遴选采购合同有效期三年，采购合同一年一签。</w:t>
      </w:r>
      <w:r>
        <w:rPr>
          <w:rFonts w:hint="eastAsia" w:ascii="仿宋" w:hAnsi="仿宋" w:eastAsia="仿宋" w:cs="仿宋"/>
          <w:sz w:val="22"/>
          <w:szCs w:val="22"/>
          <w:highlight w:val="none"/>
        </w:rPr>
        <w:t>在此期间</w:t>
      </w:r>
      <w:r>
        <w:rPr>
          <w:rFonts w:hint="eastAsia" w:ascii="仿宋" w:hAnsi="仿宋" w:eastAsia="仿宋" w:cs="仿宋"/>
          <w:sz w:val="22"/>
          <w:szCs w:val="22"/>
          <w:highlight w:val="none"/>
          <w:lang w:val="en-US" w:eastAsia="zh-CN"/>
        </w:rPr>
        <w:t>因国家执行相关医用耗材采购规定要求如带量采购等采购方式变化等按照国家规定执行；</w:t>
      </w:r>
      <w:bookmarkStart w:id="178" w:name="_Toc462929217"/>
      <w:bookmarkStart w:id="179" w:name="_Toc30734"/>
    </w:p>
    <w:p>
      <w:pPr>
        <w:spacing w:after="0" w:line="240" w:lineRule="auto"/>
        <w:ind w:firstLine="440"/>
        <w:rPr>
          <w:rFonts w:hint="default" w:ascii="仿宋" w:hAnsi="仿宋" w:eastAsia="仿宋"/>
          <w:sz w:val="22"/>
          <w:szCs w:val="21"/>
          <w:highlight w:val="none"/>
          <w:lang w:val="en-US" w:eastAsia="zh-CN"/>
        </w:rPr>
      </w:pPr>
      <w:r>
        <w:rPr>
          <w:rFonts w:hint="eastAsia" w:ascii="仿宋" w:hAnsi="仿宋" w:eastAsia="仿宋"/>
          <w:sz w:val="22"/>
          <w:szCs w:val="21"/>
          <w:highlight w:val="none"/>
          <w:lang w:val="en-US" w:eastAsia="zh-CN"/>
        </w:rPr>
        <w:t>2.合同</w:t>
      </w:r>
      <w:r>
        <w:rPr>
          <w:rFonts w:hint="eastAsia" w:ascii="仿宋" w:hAnsi="仿宋" w:eastAsia="仿宋"/>
          <w:sz w:val="22"/>
          <w:szCs w:val="21"/>
          <w:highlight w:val="none"/>
        </w:rPr>
        <w:t>期间</w:t>
      </w:r>
      <w:r>
        <w:rPr>
          <w:rFonts w:hint="eastAsia" w:ascii="仿宋" w:hAnsi="仿宋" w:eastAsia="仿宋"/>
          <w:highlight w:val="none"/>
        </w:rPr>
        <w:t>须无条件配合采购人后期医用耗材精细化管理</w:t>
      </w:r>
      <w:r>
        <w:rPr>
          <w:rFonts w:hint="eastAsia" w:ascii="仿宋" w:hAnsi="仿宋" w:eastAsia="仿宋"/>
          <w:sz w:val="22"/>
          <w:szCs w:val="21"/>
          <w:highlight w:val="none"/>
          <w:lang w:eastAsia="zh-CN"/>
        </w:rPr>
        <w:t>（</w:t>
      </w:r>
      <w:r>
        <w:rPr>
          <w:rFonts w:hint="eastAsia" w:ascii="仿宋" w:hAnsi="仿宋" w:eastAsia="仿宋"/>
          <w:sz w:val="22"/>
          <w:szCs w:val="21"/>
          <w:highlight w:val="none"/>
          <w:lang w:val="en-US" w:eastAsia="zh-CN"/>
        </w:rPr>
        <w:t>SPD</w:t>
      </w:r>
      <w:r>
        <w:rPr>
          <w:rFonts w:hint="eastAsia" w:ascii="仿宋" w:hAnsi="仿宋" w:eastAsia="仿宋"/>
          <w:sz w:val="22"/>
          <w:szCs w:val="21"/>
          <w:highlight w:val="none"/>
          <w:lang w:eastAsia="zh-CN"/>
        </w:rPr>
        <w:t>）</w:t>
      </w:r>
      <w:r>
        <w:rPr>
          <w:rFonts w:hint="eastAsia" w:ascii="仿宋" w:hAnsi="仿宋" w:eastAsia="仿宋"/>
          <w:highlight w:val="none"/>
        </w:rPr>
        <w:t>建设</w:t>
      </w:r>
      <w:r>
        <w:rPr>
          <w:rFonts w:hint="eastAsia" w:ascii="仿宋" w:hAnsi="仿宋" w:eastAsia="仿宋"/>
          <w:highlight w:val="none"/>
          <w:lang w:eastAsia="zh-CN"/>
        </w:rPr>
        <w:t>，</w:t>
      </w:r>
      <w:r>
        <w:rPr>
          <w:rFonts w:hint="eastAsia" w:ascii="仿宋" w:hAnsi="仿宋" w:eastAsia="仿宋"/>
          <w:highlight w:val="none"/>
          <w:lang w:val="en-US" w:eastAsia="zh-CN"/>
        </w:rPr>
        <w:t>按SPD项目要求提供接单、送货、结算的全流程精细化管理，并承担相关费用。</w:t>
      </w: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pStyle w:val="3"/>
        <w:wordWrap w:val="0"/>
        <w:spacing w:before="0" w:after="0" w:line="240" w:lineRule="auto"/>
        <w:jc w:val="center"/>
        <w:rPr>
          <w:rFonts w:ascii="仿宋" w:hAnsi="仿宋" w:eastAsia="仿宋"/>
          <w:sz w:val="22"/>
          <w:szCs w:val="21"/>
        </w:rPr>
      </w:pPr>
      <w:r>
        <w:rPr>
          <w:rFonts w:hint="eastAsia" w:ascii="仿宋" w:hAnsi="仿宋" w:eastAsia="仿宋"/>
          <w:sz w:val="22"/>
          <w:szCs w:val="21"/>
        </w:rPr>
        <w:t xml:space="preserve">第七章 </w:t>
      </w:r>
      <w:r>
        <w:rPr>
          <w:rFonts w:ascii="仿宋" w:hAnsi="仿宋" w:eastAsia="仿宋"/>
          <w:sz w:val="22"/>
          <w:szCs w:val="21"/>
        </w:rPr>
        <w:t xml:space="preserve"> </w:t>
      </w:r>
      <w:r>
        <w:rPr>
          <w:rFonts w:hint="eastAsia" w:ascii="仿宋" w:hAnsi="仿宋" w:eastAsia="仿宋"/>
          <w:sz w:val="22"/>
          <w:szCs w:val="21"/>
        </w:rPr>
        <w:t>评议方法</w:t>
      </w:r>
      <w:bookmarkEnd w:id="178"/>
      <w:bookmarkEnd w:id="179"/>
    </w:p>
    <w:p>
      <w:pPr>
        <w:wordWrap w:val="0"/>
        <w:adjustRightInd w:val="0"/>
        <w:snapToGrid w:val="0"/>
        <w:spacing w:after="0" w:line="240" w:lineRule="auto"/>
        <w:ind w:firstLine="420" w:firstLineChars="200"/>
        <w:rPr>
          <w:rFonts w:ascii="仿宋" w:hAnsi="仿宋" w:eastAsia="仿宋"/>
          <w:sz w:val="22"/>
          <w:szCs w:val="21"/>
        </w:rPr>
      </w:pPr>
      <w:bookmarkStart w:id="180" w:name="_Toc209847168"/>
      <w:bookmarkStart w:id="181" w:name="_Toc430773950"/>
      <w:r>
        <w:rPr>
          <w:rFonts w:hint="eastAsia" w:ascii="Times New Roman" w:hAnsi="Times New Roman"/>
          <w:szCs w:val="21"/>
        </w:rPr>
        <w:t xml:space="preserve"> </w:t>
      </w:r>
      <w:r>
        <w:rPr>
          <w:rFonts w:ascii="Times New Roman" w:hAnsi="Times New Roman"/>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w:t>
      </w:r>
      <w:r>
        <w:rPr>
          <w:rFonts w:hint="eastAsia" w:ascii="仿宋" w:hAnsi="仿宋" w:eastAsia="仿宋"/>
          <w:sz w:val="22"/>
          <w:szCs w:val="21"/>
        </w:rPr>
        <w:t>《四川省骨科医院医用耗材遴选采购管理办法》、并结合本项目特点制定本评议细则。</w:t>
      </w:r>
    </w:p>
    <w:bookmarkEnd w:id="180"/>
    <w:bookmarkEnd w:id="181"/>
    <w:p>
      <w:pPr>
        <w:pStyle w:val="50"/>
        <w:wordWrap w:val="0"/>
        <w:spacing w:line="240" w:lineRule="auto"/>
        <w:rPr>
          <w:rFonts w:ascii="仿宋" w:hAnsi="仿宋" w:eastAsia="仿宋"/>
          <w:sz w:val="22"/>
          <w:szCs w:val="21"/>
        </w:rPr>
      </w:pPr>
      <w:bookmarkStart w:id="182" w:name="_Toc101338402"/>
      <w:bookmarkStart w:id="183" w:name="_Toc430773951"/>
      <w:bookmarkStart w:id="184" w:name="_Toc209847169"/>
      <w:r>
        <w:rPr>
          <w:rFonts w:hint="eastAsia" w:ascii="仿宋" w:hAnsi="仿宋" w:eastAsia="仿宋"/>
          <w:sz w:val="22"/>
          <w:szCs w:val="21"/>
        </w:rPr>
        <w:t>一、评议方法和评议标准</w:t>
      </w:r>
    </w:p>
    <w:p>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pPr>
        <w:pStyle w:val="5"/>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82"/>
      <w:bookmarkEnd w:id="183"/>
      <w:bookmarkEnd w:id="184"/>
      <w:bookmarkStart w:id="185" w:name="_Hlt101105855"/>
      <w:bookmarkEnd w:id="185"/>
      <w:bookmarkStart w:id="186" w:name="_Hlt101844658"/>
      <w:bookmarkEnd w:id="186"/>
    </w:p>
    <w:p>
      <w:pPr>
        <w:widowControl/>
        <w:wordWrap w:val="0"/>
        <w:snapToGrid w:val="0"/>
        <w:spacing w:after="0" w:line="240" w:lineRule="auto"/>
        <w:ind w:firstLine="440" w:firstLineChars="200"/>
        <w:jc w:val="left"/>
        <w:rPr>
          <w:rFonts w:ascii="仿宋" w:hAnsi="仿宋" w:eastAsia="仿宋" w:cs="宋体"/>
          <w:sz w:val="22"/>
          <w:szCs w:val="21"/>
        </w:rPr>
      </w:pPr>
      <w:bookmarkStart w:id="187" w:name="_Toc209847170"/>
      <w:bookmarkStart w:id="188" w:name="_Toc430773952"/>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pPr>
        <w:pStyle w:val="5"/>
        <w:wordWrap w:val="0"/>
        <w:adjustRightInd w:val="0"/>
        <w:snapToGrid w:val="0"/>
        <w:spacing w:before="0" w:after="0" w:line="240" w:lineRule="auto"/>
        <w:ind w:firstLine="482"/>
        <w:rPr>
          <w:rFonts w:ascii="仿宋" w:hAnsi="仿宋" w:eastAsia="仿宋" w:cs="宋体"/>
          <w:bCs w:val="0"/>
          <w:sz w:val="22"/>
          <w:szCs w:val="21"/>
        </w:rPr>
      </w:pPr>
      <w:r>
        <w:rPr>
          <w:rFonts w:hint="eastAsia" w:ascii="仿宋" w:hAnsi="仿宋" w:eastAsia="仿宋" w:cs="宋体"/>
          <w:sz w:val="22"/>
          <w:szCs w:val="21"/>
        </w:rPr>
        <w:t>3、评议方法</w:t>
      </w:r>
      <w:bookmarkEnd w:id="187"/>
      <w:bookmarkEnd w:id="188"/>
      <w:r>
        <w:rPr>
          <w:rFonts w:hint="eastAsia" w:ascii="仿宋" w:hAnsi="仿宋" w:eastAsia="仿宋" w:cs="宋体"/>
          <w:sz w:val="22"/>
          <w:szCs w:val="21"/>
        </w:rPr>
        <w:t>：</w:t>
      </w:r>
      <w:bookmarkStart w:id="189" w:name="_Toc430773953"/>
      <w:bookmarkStart w:id="190" w:name="_Toc209847171"/>
      <w:r>
        <w:rPr>
          <w:rFonts w:hint="eastAsia" w:ascii="仿宋" w:hAnsi="仿宋" w:eastAsia="仿宋" w:cs="宋体"/>
          <w:bCs w:val="0"/>
          <w:sz w:val="22"/>
          <w:szCs w:val="21"/>
        </w:rPr>
        <w:t>根据质量和服务均能满足采购文件实质性响应要求，采用综合评分法评议。</w:t>
      </w:r>
      <w:bookmarkEnd w:id="189"/>
    </w:p>
    <w:tbl>
      <w:tblPr>
        <w:tblStyle w:val="24"/>
        <w:tblW w:w="951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80"/>
        <w:gridCol w:w="753"/>
        <w:gridCol w:w="3233"/>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78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1、价格保留至小数点后2位；</w:t>
            </w:r>
          </w:p>
          <w:p>
            <w:pPr>
              <w:widowControl/>
              <w:spacing w:after="0" w:line="240" w:lineRule="auto"/>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2、四川省药械集中采购及医药价格监管平台挂网产品</w:t>
            </w:r>
            <w:r>
              <w:rPr>
                <w:rFonts w:hint="eastAsia" w:ascii="仿宋" w:hAnsi="仿宋" w:eastAsia="仿宋" w:cs="宋体"/>
                <w:color w:val="000000"/>
                <w:kern w:val="0"/>
                <w:sz w:val="20"/>
                <w:szCs w:val="21"/>
                <w:highlight w:val="none"/>
                <w:lang w:val="en-US" w:eastAsia="zh-CN"/>
              </w:rPr>
              <w:t>或带量采购产品</w:t>
            </w:r>
            <w:r>
              <w:rPr>
                <w:rFonts w:hint="eastAsia" w:ascii="仿宋" w:hAnsi="仿宋" w:eastAsia="仿宋" w:cs="宋体"/>
                <w:color w:val="000000"/>
                <w:kern w:val="0"/>
                <w:sz w:val="20"/>
                <w:szCs w:val="21"/>
                <w:highlight w:val="none"/>
              </w:rPr>
              <w:t>：</w:t>
            </w:r>
          </w:p>
          <w:p>
            <w:pPr>
              <w:widowControl/>
              <w:spacing w:after="0" w:line="240" w:lineRule="auto"/>
              <w:jc w:val="left"/>
              <w:rPr>
                <w:rFonts w:hint="eastAsia" w:ascii="仿宋" w:hAnsi="仿宋" w:eastAsia="仿宋" w:cs="宋体"/>
                <w:color w:val="000000"/>
                <w:kern w:val="0"/>
                <w:sz w:val="20"/>
                <w:szCs w:val="21"/>
                <w:highlight w:val="none"/>
                <w:lang w:val="en-US" w:eastAsia="zh-CN"/>
              </w:rPr>
            </w:pPr>
            <w:r>
              <w:rPr>
                <w:rFonts w:hint="eastAsia" w:ascii="仿宋" w:hAnsi="仿宋" w:eastAsia="仿宋" w:cs="宋体"/>
                <w:color w:val="000000"/>
                <w:kern w:val="0"/>
                <w:sz w:val="20"/>
                <w:szCs w:val="21"/>
                <w:highlight w:val="none"/>
                <w:lang w:eastAsia="zh-CN"/>
              </w:rPr>
              <w:t>报价得分由两部分组成：</w:t>
            </w:r>
          </w:p>
          <w:p>
            <w:pPr>
              <w:widowControl/>
              <w:spacing w:after="0" w:line="240" w:lineRule="auto"/>
              <w:ind w:firstLine="400" w:firstLineChars="200"/>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lang w:val="en-US" w:eastAsia="zh-CN"/>
              </w:rPr>
              <w:t>第一部分：报价得分=</w:t>
            </w:r>
            <w:r>
              <w:rPr>
                <w:rFonts w:hint="eastAsia" w:ascii="仿宋" w:hAnsi="仿宋" w:eastAsia="仿宋" w:cs="宋体"/>
                <w:color w:val="000000"/>
                <w:kern w:val="0"/>
                <w:sz w:val="20"/>
                <w:szCs w:val="21"/>
                <w:highlight w:val="none"/>
              </w:rPr>
              <w:t>（遴选基准价/报价）*</w:t>
            </w:r>
            <w:r>
              <w:rPr>
                <w:rFonts w:hint="eastAsia" w:ascii="仿宋" w:hAnsi="仿宋" w:eastAsia="仿宋" w:cs="宋体"/>
                <w:color w:val="000000"/>
                <w:kern w:val="0"/>
                <w:sz w:val="20"/>
                <w:szCs w:val="21"/>
                <w:highlight w:val="none"/>
                <w:lang w:val="en-US" w:eastAsia="zh-CN"/>
              </w:rPr>
              <w:t>20</w:t>
            </w:r>
            <w:r>
              <w:rPr>
                <w:rFonts w:hint="eastAsia" w:ascii="仿宋" w:hAnsi="仿宋" w:eastAsia="仿宋" w:cs="宋体"/>
                <w:color w:val="000000"/>
                <w:kern w:val="0"/>
                <w:sz w:val="20"/>
                <w:szCs w:val="21"/>
                <w:highlight w:val="none"/>
              </w:rPr>
              <w:t>，</w:t>
            </w:r>
          </w:p>
          <w:p>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lang w:val="en-US" w:eastAsia="zh-CN"/>
              </w:rPr>
              <w:t>第二部分：报价得分：在挂</w:t>
            </w:r>
            <w:r>
              <w:rPr>
                <w:rFonts w:hint="eastAsia" w:ascii="仿宋" w:hAnsi="仿宋" w:eastAsia="仿宋" w:cs="宋体"/>
                <w:color w:val="000000"/>
                <w:kern w:val="0"/>
                <w:sz w:val="20"/>
                <w:szCs w:val="21"/>
                <w:highlight w:val="none"/>
              </w:rPr>
              <w:t>网最低价</w:t>
            </w:r>
            <w:r>
              <w:rPr>
                <w:rFonts w:hint="eastAsia" w:ascii="仿宋" w:hAnsi="仿宋" w:eastAsia="仿宋" w:cs="宋体"/>
                <w:color w:val="000000"/>
                <w:kern w:val="0"/>
                <w:sz w:val="20"/>
                <w:szCs w:val="21"/>
                <w:highlight w:val="none"/>
                <w:lang w:val="en-US" w:eastAsia="zh-CN"/>
              </w:rPr>
              <w:t>基础上</w:t>
            </w:r>
            <w:r>
              <w:rPr>
                <w:rFonts w:hint="eastAsia" w:ascii="仿宋" w:hAnsi="仿宋" w:eastAsia="仿宋" w:cs="宋体"/>
                <w:color w:val="000000"/>
                <w:kern w:val="0"/>
                <w:sz w:val="20"/>
                <w:szCs w:val="21"/>
                <w:highlight w:val="none"/>
              </w:rPr>
              <w:t>，每降幅</w:t>
            </w:r>
            <w:r>
              <w:rPr>
                <w:rFonts w:hint="eastAsia" w:ascii="仿宋" w:hAnsi="仿宋" w:eastAsia="仿宋" w:cs="宋体"/>
                <w:color w:val="000000"/>
                <w:kern w:val="0"/>
                <w:sz w:val="20"/>
                <w:szCs w:val="21"/>
                <w:highlight w:val="none"/>
                <w:lang w:val="en-US" w:eastAsia="zh-CN"/>
              </w:rPr>
              <w:t>5</w:t>
            </w:r>
            <w:r>
              <w:rPr>
                <w:rFonts w:hint="eastAsia" w:ascii="仿宋" w:hAnsi="仿宋" w:eastAsia="仿宋" w:cs="宋体"/>
                <w:color w:val="000000"/>
                <w:kern w:val="0"/>
                <w:sz w:val="20"/>
                <w:szCs w:val="21"/>
                <w:highlight w:val="none"/>
              </w:rPr>
              <w:t>%得1分。最高不超过</w:t>
            </w:r>
            <w:r>
              <w:rPr>
                <w:rFonts w:hint="eastAsia" w:ascii="仿宋" w:hAnsi="仿宋" w:eastAsia="仿宋" w:cs="宋体"/>
                <w:color w:val="000000"/>
                <w:kern w:val="0"/>
                <w:sz w:val="20"/>
                <w:szCs w:val="21"/>
                <w:highlight w:val="none"/>
                <w:lang w:val="en-US" w:eastAsia="zh-CN"/>
              </w:rPr>
              <w:t>10</w:t>
            </w:r>
            <w:r>
              <w:rPr>
                <w:rFonts w:hint="eastAsia" w:ascii="仿宋" w:hAnsi="仿宋" w:eastAsia="仿宋" w:cs="宋体"/>
                <w:color w:val="000000"/>
                <w:kern w:val="0"/>
                <w:sz w:val="20"/>
                <w:szCs w:val="21"/>
                <w:highlight w:val="none"/>
              </w:rPr>
              <w:t>分；</w:t>
            </w:r>
          </w:p>
          <w:p>
            <w:pPr>
              <w:widowControl/>
              <w:spacing w:after="0" w:line="240" w:lineRule="auto"/>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3、非</w:t>
            </w:r>
            <w:r>
              <w:rPr>
                <w:rFonts w:hint="eastAsia" w:ascii="仿宋" w:hAnsi="仿宋" w:eastAsia="仿宋" w:cs="宋体"/>
                <w:color w:val="000000"/>
                <w:kern w:val="0"/>
                <w:sz w:val="20"/>
                <w:szCs w:val="21"/>
                <w:highlight w:val="none"/>
                <w:lang w:eastAsia="zh-CN"/>
              </w:rPr>
              <w:t>药械</w:t>
            </w:r>
            <w:r>
              <w:rPr>
                <w:rFonts w:hint="eastAsia" w:ascii="仿宋" w:hAnsi="仿宋" w:eastAsia="仿宋" w:cs="宋体"/>
                <w:color w:val="000000"/>
                <w:kern w:val="0"/>
                <w:sz w:val="20"/>
                <w:szCs w:val="21"/>
                <w:highlight w:val="none"/>
              </w:rPr>
              <w:t>平台</w:t>
            </w:r>
            <w:r>
              <w:rPr>
                <w:rFonts w:hint="eastAsia" w:ascii="仿宋" w:hAnsi="仿宋" w:eastAsia="仿宋" w:cs="宋体"/>
                <w:color w:val="000000"/>
                <w:kern w:val="0"/>
                <w:sz w:val="20"/>
                <w:szCs w:val="21"/>
                <w:highlight w:val="none"/>
                <w:lang w:eastAsia="zh-CN"/>
              </w:rPr>
              <w:t>挂网</w:t>
            </w:r>
            <w:r>
              <w:rPr>
                <w:rFonts w:hint="eastAsia" w:ascii="仿宋" w:hAnsi="仿宋" w:eastAsia="仿宋" w:cs="宋体"/>
                <w:color w:val="000000"/>
                <w:kern w:val="0"/>
                <w:sz w:val="20"/>
                <w:szCs w:val="21"/>
                <w:highlight w:val="none"/>
              </w:rPr>
              <w:t>产品：报价得分=（遴选基准价/报价）*30，</w:t>
            </w:r>
          </w:p>
          <w:p>
            <w:pPr>
              <w:widowControl/>
              <w:spacing w:after="0" w:line="240" w:lineRule="auto"/>
              <w:ind w:firstLine="400" w:firstLineChars="200"/>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遴选基准价=满足遴选要求的最低报价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rPr>
              <w:t>商务（</w:t>
            </w:r>
            <w:r>
              <w:rPr>
                <w:rFonts w:hint="eastAsia" w:ascii="仿宋" w:hAnsi="仿宋" w:eastAsia="仿宋" w:cs="宋体"/>
                <w:color w:val="000000"/>
                <w:kern w:val="0"/>
                <w:sz w:val="20"/>
                <w:szCs w:val="21"/>
                <w:lang w:val="en-US" w:eastAsia="zh-CN"/>
              </w:rPr>
              <w:t>27</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公司资质</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生产单位身生产许可证、经营企业经营许可证、营业执照等</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经营资质齐全得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分，不齐全或未提供0分。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产品质量</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I类、II类、III类医用耗材完整的产品备案/注册信息；其他类产品的的类似证明信息（如：消毒产品安全评价报告）</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完整的备案/注册信息得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分，不齐全或未提供得0分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技术（2</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p>
          <w:p>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授权书</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产品完整的授权信息</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5份</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提供经营完整授权链得4分，不完整0分；销售人员授权书得1分，不提供0分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p>
          <w:p>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（1）服务较优得2分、次之得1分、不提供不得分。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仿宋" w:hAnsi="仿宋" w:eastAsia="仿宋" w:cs="宋体"/>
                <w:color w:val="000000"/>
                <w:kern w:val="0"/>
                <w:sz w:val="20"/>
                <w:szCs w:val="21"/>
                <w:lang w:val="en-US" w:eastAsia="zh-CN"/>
              </w:rPr>
              <w:t>（2）服务较优得3分、次之得1.5分、不提供不得分。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（3）服务较优得3分、次之得1.5分、不提供不得分。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rPr>
              <w:t>（4）服务较优得2分、次之得1分、不提供不得分。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rPr>
              <w:t>根据要求提供的产品样品</w:t>
            </w:r>
          </w:p>
          <w:p>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yellow"/>
                <w:lang w:val="en-US" w:eastAsia="zh-CN"/>
              </w:rPr>
              <w:t>注：供应商投同一项目内无论是否包含要求提供样品的产品，均参与该项评分。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提供样品及样品质检报告（或合格证），样品评分前三名依次为10分、5分、3分，其余均为1分；未提供样品及质检报告，不得分。</w:t>
            </w:r>
          </w:p>
        </w:tc>
      </w:tr>
    </w:tbl>
    <w:p>
      <w:pPr>
        <w:spacing w:after="0"/>
      </w:pPr>
    </w:p>
    <w:p>
      <w:pPr>
        <w:pStyle w:val="5"/>
        <w:wordWrap w:val="0"/>
        <w:adjustRightInd w:val="0"/>
        <w:snapToGrid w:val="0"/>
        <w:spacing w:before="0" w:after="0" w:line="240" w:lineRule="auto"/>
        <w:ind w:firstLine="482"/>
        <w:rPr>
          <w:rFonts w:ascii="仿宋" w:hAnsi="仿宋" w:eastAsia="仿宋" w:cs="宋体"/>
          <w:sz w:val="22"/>
          <w:szCs w:val="21"/>
        </w:rPr>
      </w:pPr>
      <w:bookmarkStart w:id="191" w:name="_Toc430773954"/>
      <w:r>
        <w:rPr>
          <w:rFonts w:hint="eastAsia" w:ascii="仿宋" w:hAnsi="仿宋" w:eastAsia="仿宋" w:cs="宋体"/>
          <w:sz w:val="22"/>
          <w:szCs w:val="21"/>
        </w:rPr>
        <w:t>4、响应文件的审查和响应性的确定</w:t>
      </w:r>
      <w:bookmarkEnd w:id="190"/>
      <w:bookmarkEnd w:id="191"/>
    </w:p>
    <w:p>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pPr>
        <w:pStyle w:val="4"/>
        <w:wordWrap w:val="0"/>
        <w:spacing w:before="0" w:after="0" w:line="240" w:lineRule="auto"/>
        <w:ind w:firstLine="440" w:firstLineChars="200"/>
        <w:jc w:val="left"/>
        <w:rPr>
          <w:rFonts w:ascii="仿宋" w:hAnsi="仿宋" w:eastAsia="仿宋" w:cs="宋体"/>
          <w:sz w:val="22"/>
          <w:szCs w:val="21"/>
        </w:rPr>
      </w:pPr>
      <w:bookmarkStart w:id="192" w:name="_Toc430773955"/>
      <w:bookmarkStart w:id="193" w:name="_Toc209847172"/>
      <w:r>
        <w:rPr>
          <w:rStyle w:val="48"/>
          <w:rFonts w:hint="eastAsia" w:ascii="仿宋" w:hAnsi="仿宋" w:eastAsia="仿宋" w:cs="宋体"/>
          <w:b w:val="0"/>
          <w:bCs w:val="0"/>
          <w:sz w:val="22"/>
          <w:szCs w:val="21"/>
        </w:rPr>
        <w:t>5、响应文件的澄清</w:t>
      </w:r>
      <w:bookmarkEnd w:id="192"/>
      <w:bookmarkEnd w:id="193"/>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pPr>
        <w:pStyle w:val="50"/>
        <w:wordWrap w:val="0"/>
        <w:spacing w:line="240" w:lineRule="auto"/>
        <w:rPr>
          <w:rFonts w:ascii="仿宋" w:hAnsi="仿宋" w:eastAsia="仿宋"/>
          <w:sz w:val="22"/>
          <w:szCs w:val="21"/>
        </w:rPr>
      </w:pPr>
      <w:bookmarkStart w:id="194" w:name="_Toc209847177"/>
      <w:r>
        <w:rPr>
          <w:rFonts w:hint="eastAsia" w:ascii="仿宋" w:hAnsi="仿宋" w:eastAsia="仿宋"/>
          <w:sz w:val="22"/>
          <w:szCs w:val="21"/>
        </w:rPr>
        <w:t>二、评议程序</w:t>
      </w:r>
    </w:p>
    <w:p>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（盖章扫描件及</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94"/>
    </w:p>
    <w:bookmarkEnd w:id="176"/>
    <w:bookmarkEnd w:id="177"/>
    <w:p>
      <w:pPr>
        <w:pStyle w:val="3"/>
        <w:spacing w:before="0" w:after="0" w:line="240" w:lineRule="auto"/>
        <w:jc w:val="center"/>
        <w:rPr>
          <w:rFonts w:hint="eastAsia" w:ascii="仿宋" w:hAnsi="仿宋" w:eastAsia="仿宋"/>
          <w:sz w:val="22"/>
          <w:szCs w:val="21"/>
        </w:rPr>
      </w:pPr>
      <w:bookmarkStart w:id="195" w:name="_Toc23042"/>
      <w:bookmarkStart w:id="196" w:name="_Toc5845"/>
      <w:r>
        <w:rPr>
          <w:rFonts w:hint="eastAsia" w:ascii="仿宋" w:hAnsi="仿宋" w:eastAsia="仿宋"/>
          <w:sz w:val="22"/>
          <w:szCs w:val="21"/>
          <w:highlight w:val="yellow"/>
        </w:rPr>
        <w:t>第八章  遴选采购合同</w:t>
      </w:r>
      <w:bookmarkEnd w:id="195"/>
      <w:bookmarkEnd w:id="196"/>
      <w:r>
        <w:rPr>
          <w:rFonts w:hint="eastAsia" w:ascii="仿宋" w:hAnsi="仿宋" w:eastAsia="仿宋"/>
          <w:sz w:val="22"/>
          <w:szCs w:val="21"/>
        </w:rPr>
        <w:t>（草稿）</w:t>
      </w:r>
    </w:p>
    <w:p/>
    <w:p>
      <w:pPr>
        <w:spacing w:after="0" w:line="240" w:lineRule="auto"/>
        <w:jc w:val="center"/>
        <w:rPr>
          <w:rFonts w:ascii="仿宋" w:hAnsi="仿宋" w:eastAsia="仿宋"/>
          <w:sz w:val="22"/>
          <w:szCs w:val="21"/>
        </w:rPr>
      </w:pPr>
      <w:r>
        <w:rPr>
          <w:rFonts w:hint="eastAsia" w:ascii="仿宋" w:hAnsi="仿宋" w:eastAsia="仿宋"/>
          <w:sz w:val="22"/>
          <w:szCs w:val="21"/>
        </w:rPr>
        <w:t>无</w:t>
      </w:r>
    </w:p>
    <w:p>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482" w:firstLineChars="200"/>
        <w:jc w:val="left"/>
        <w:rPr>
          <w:rFonts w:ascii="仿宋" w:hAnsi="仿宋" w:eastAsia="仿宋"/>
          <w:sz w:val="22"/>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b/>
          <w:bCs/>
          <w:color w:val="000000"/>
          <w:kern w:val="0"/>
          <w:sz w:val="24"/>
          <w:szCs w:val="24"/>
          <w:lang w:val="en-US" w:eastAsia="zh-CN" w:bidi="ar"/>
        </w:rPr>
        <w:t>注：1.本次采购的耗材名称系根据医院</w:t>
      </w:r>
      <w:r>
        <w:rPr>
          <w:rFonts w:hint="eastAsia" w:ascii="宋体" w:hAnsi="宋体" w:cs="宋体"/>
          <w:b/>
          <w:bCs/>
          <w:color w:val="000000"/>
          <w:kern w:val="0"/>
          <w:sz w:val="24"/>
          <w:szCs w:val="24"/>
          <w:lang w:val="en-US" w:eastAsia="zh-CN" w:bidi="ar"/>
        </w:rPr>
        <w:t>前期遴选推荐</w:t>
      </w:r>
      <w:r>
        <w:rPr>
          <w:rFonts w:hint="eastAsia" w:ascii="宋体" w:hAnsi="宋体" w:eastAsia="宋体" w:cs="宋体"/>
          <w:b/>
          <w:bCs/>
          <w:color w:val="000000"/>
          <w:kern w:val="0"/>
          <w:sz w:val="24"/>
          <w:szCs w:val="24"/>
          <w:lang w:val="en-US" w:eastAsia="zh-CN" w:bidi="ar"/>
        </w:rPr>
        <w:t>了解，如果出现不同厂家生产的同效用产品 名称有与公开遴选文件名称可能有区别，仅产品名称不全部相同，但其产品效用、性能 与公开遴选文件要求的产品一致也予以认可</w:t>
      </w:r>
    </w:p>
    <w:p>
      <w:pPr>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tblPrEx>
          <w:tblCellMar>
            <w:top w:w="15" w:type="dxa"/>
            <w:left w:w="15" w:type="dxa"/>
            <w:bottom w:w="15" w:type="dxa"/>
            <w:right w:w="15" w:type="dxa"/>
          </w:tblCellMar>
        </w:tblPrEx>
        <w:trPr>
          <w:trHeight w:val="502" w:hRule="atLeast"/>
        </w:trPr>
        <w:tc>
          <w:tcPr>
            <w:tcW w:w="14305" w:type="dxa"/>
            <w:gridSpan w:val="7"/>
            <w:vAlign w:val="center"/>
          </w:tcPr>
          <w:p>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tblPrEx>
          <w:tblCellMar>
            <w:top w:w="15" w:type="dxa"/>
            <w:left w:w="15" w:type="dxa"/>
            <w:bottom w:w="15" w:type="dxa"/>
            <w:right w:w="15" w:type="dxa"/>
          </w:tblCellMar>
        </w:tblPrEx>
        <w:trPr>
          <w:trHeight w:val="432" w:hRule="atLeast"/>
        </w:trPr>
        <w:tc>
          <w:tcPr>
            <w:tcW w:w="1149" w:type="dxa"/>
            <w:vAlign w:val="center"/>
          </w:tcPr>
          <w:p>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pPr>
              <w:spacing w:after="0" w:line="240" w:lineRule="auto"/>
              <w:jc w:val="left"/>
              <w:rPr>
                <w:rFonts w:ascii="仿宋" w:hAnsi="仿宋" w:eastAsia="仿宋" w:cs="宋体"/>
                <w:b/>
                <w:sz w:val="22"/>
                <w:szCs w:val="21"/>
              </w:rPr>
            </w:pPr>
            <w:r>
              <w:rPr>
                <w:rFonts w:hint="eastAsia" w:ascii="仿宋" w:hAnsi="仿宋" w:eastAsia="仿宋" w:cs="宋体"/>
                <w:b/>
                <w:sz w:val="22"/>
                <w:szCs w:val="21"/>
              </w:rPr>
              <w:t>四川省骨科医院骨科医用耗材遴选采购项目</w:t>
            </w:r>
          </w:p>
        </w:tc>
        <w:tc>
          <w:tcPr>
            <w:tcW w:w="1247" w:type="dxa"/>
            <w:vAlign w:val="center"/>
          </w:tcPr>
          <w:p>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pPr>
              <w:spacing w:after="0" w:line="240" w:lineRule="auto"/>
              <w:rPr>
                <w:rFonts w:hint="eastAsia" w:ascii="仿宋" w:hAnsi="仿宋" w:eastAsia="仿宋" w:cs="宋体"/>
                <w:b/>
                <w:sz w:val="22"/>
                <w:szCs w:val="21"/>
              </w:rPr>
            </w:pPr>
            <w:r>
              <w:rPr>
                <w:rFonts w:hint="eastAsia" w:ascii="仿宋" w:hAnsi="仿宋" w:eastAsia="仿宋" w:cs="宋体"/>
                <w:b/>
                <w:sz w:val="22"/>
                <w:szCs w:val="21"/>
              </w:rPr>
              <w:t>SGKYZ-LX-2023002</w:t>
            </w:r>
            <w:r>
              <w:rPr>
                <w:rFonts w:hint="eastAsia" w:ascii="仿宋" w:hAnsi="仿宋" w:eastAsia="仿宋" w:cs="宋体"/>
                <w:b/>
                <w:sz w:val="22"/>
                <w:szCs w:val="21"/>
                <w:lang w:eastAsia="zh-CN"/>
              </w:rPr>
              <w:t>、</w:t>
            </w:r>
            <w:r>
              <w:rPr>
                <w:rFonts w:hint="eastAsia" w:ascii="仿宋" w:hAnsi="仿宋" w:eastAsia="仿宋" w:cs="宋体"/>
                <w:b/>
                <w:sz w:val="22"/>
                <w:szCs w:val="21"/>
              </w:rPr>
              <w:t>SGKYZ-LX-2023003</w:t>
            </w:r>
          </w:p>
          <w:p>
            <w:pPr>
              <w:spacing w:after="0" w:line="240" w:lineRule="auto"/>
              <w:rPr>
                <w:rFonts w:ascii="仿宋" w:hAnsi="仿宋" w:eastAsia="仿宋" w:cs="宋体"/>
                <w:b/>
                <w:sz w:val="22"/>
                <w:szCs w:val="21"/>
              </w:rPr>
            </w:pPr>
            <w:r>
              <w:rPr>
                <w:rFonts w:hint="eastAsia" w:ascii="仿宋" w:hAnsi="仿宋" w:eastAsia="仿宋" w:cs="宋体"/>
                <w:b/>
                <w:sz w:val="22"/>
                <w:szCs w:val="21"/>
              </w:rPr>
              <w:t>SGKYZ-LX-2023004</w:t>
            </w:r>
          </w:p>
        </w:tc>
      </w:tr>
      <w:tr>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pPr>
              <w:spacing w:after="0" w:line="240" w:lineRule="auto"/>
              <w:jc w:val="both"/>
              <w:textAlignment w:val="center"/>
              <w:rPr>
                <w:rFonts w:hint="eastAsia" w:ascii="仿宋" w:hAnsi="仿宋" w:eastAsia="仿宋" w:cs="宋体"/>
                <w:b/>
                <w:sz w:val="22"/>
                <w:szCs w:val="21"/>
                <w:lang w:eastAsia="zh-CN"/>
              </w:rPr>
            </w:pPr>
            <w:r>
              <w:rPr>
                <w:rFonts w:hint="eastAsia" w:ascii="仿宋" w:hAnsi="仿宋" w:eastAsia="仿宋" w:cs="宋体"/>
                <w:b/>
                <w:sz w:val="22"/>
                <w:szCs w:val="21"/>
                <w:lang w:eastAsia="zh-CN"/>
              </w:rPr>
              <w:t>包号（附件号）</w:t>
            </w:r>
          </w:p>
        </w:tc>
        <w:tc>
          <w:tcPr>
            <w:tcW w:w="1985"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202</w:t>
            </w:r>
            <w:r>
              <w:rPr>
                <w:rStyle w:val="37"/>
                <w:rFonts w:hint="eastAsia" w:ascii="仿宋" w:hAnsi="仿宋" w:eastAsia="仿宋"/>
                <w:color w:val="auto"/>
                <w:sz w:val="22"/>
                <w:lang w:val="en-US" w:eastAsia="zh-CN"/>
              </w:rPr>
              <w:t>3</w:t>
            </w:r>
            <w:r>
              <w:rPr>
                <w:rStyle w:val="37"/>
                <w:rFonts w:hint="default" w:ascii="仿宋" w:hAnsi="仿宋" w:eastAsia="仿宋"/>
                <w:color w:val="auto"/>
                <w:sz w:val="22"/>
              </w:rPr>
              <w:t>年   月  日</w:t>
            </w:r>
          </w:p>
          <w:p>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pPr>
              <w:spacing w:after="0" w:line="240" w:lineRule="auto"/>
              <w:jc w:val="center"/>
              <w:textAlignment w:val="center"/>
              <w:rPr>
                <w:rFonts w:ascii="仿宋" w:hAnsi="仿宋" w:eastAsia="仿宋" w:cs="Eʩ"/>
                <w:sz w:val="22"/>
                <w:szCs w:val="21"/>
              </w:rPr>
            </w:pPr>
          </w:p>
          <w:p>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pPr>
              <w:spacing w:after="0" w:line="240" w:lineRule="auto"/>
              <w:textAlignment w:val="center"/>
              <w:rPr>
                <w:rFonts w:ascii="仿宋" w:hAnsi="仿宋" w:eastAsia="仿宋" w:cs="宋体"/>
                <w:sz w:val="22"/>
                <w:szCs w:val="21"/>
              </w:rPr>
            </w:pPr>
          </w:p>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pPr>
              <w:spacing w:after="0" w:line="240" w:lineRule="auto"/>
              <w:rPr>
                <w:rFonts w:ascii="仿宋" w:hAnsi="仿宋" w:eastAsia="仿宋" w:cs="宋体"/>
                <w:sz w:val="22"/>
                <w:szCs w:val="21"/>
              </w:rPr>
            </w:pPr>
          </w:p>
        </w:tc>
      </w:tr>
      <w:tr>
        <w:tblPrEx>
          <w:tblCellMar>
            <w:top w:w="15" w:type="dxa"/>
            <w:left w:w="15" w:type="dxa"/>
            <w:bottom w:w="15" w:type="dxa"/>
            <w:right w:w="15" w:type="dxa"/>
          </w:tblCellMar>
        </w:tblPrEx>
        <w:trPr>
          <w:trHeight w:val="838" w:hRule="atLeast"/>
        </w:trPr>
        <w:tc>
          <w:tcPr>
            <w:tcW w:w="14305" w:type="dxa"/>
            <w:gridSpan w:val="7"/>
            <w:vAlign w:val="bottom"/>
          </w:tcPr>
          <w:p>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p>
        </w:tc>
      </w:tr>
      <w:bookmarkEnd w:id="173"/>
    </w:tbl>
    <w:p>
      <w:pPr>
        <w:spacing w:beforeLines="50" w:afterLines="50"/>
        <w:rPr>
          <w:rFonts w:hAnsi="宋体"/>
          <w:sz w:val="24"/>
        </w:rPr>
        <w:sectPr>
          <w:footerReference r:id="rId12" w:type="default"/>
          <w:pgSz w:w="16838" w:h="11906" w:orient="landscape"/>
          <w:pgMar w:top="1797" w:right="1440" w:bottom="1797" w:left="1440" w:header="851" w:footer="992" w:gutter="0"/>
          <w:pgNumType w:fmt="numberInDash"/>
          <w:cols w:space="425" w:num="1"/>
          <w:vAlign w:val="center"/>
          <w:docGrid w:type="lines" w:linePitch="312" w:charSpace="0"/>
        </w:sectPr>
      </w:pPr>
    </w:p>
    <w:p>
      <w:pPr>
        <w:keepNext w:val="0"/>
        <w:keepLines w:val="0"/>
        <w:widowControl/>
        <w:suppressLineNumbers w:val="0"/>
        <w:jc w:val="left"/>
      </w:pPr>
    </w:p>
    <w:sectPr>
      <w:footerReference r:id="rId13" w:type="default"/>
      <w:footerReference r:id="rId14" w:type="even"/>
      <w:pgSz w:w="11906" w:h="16838"/>
      <w:pgMar w:top="720" w:right="1276" w:bottom="720" w:left="12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C9FF9"/>
    <w:multiLevelType w:val="singleLevel"/>
    <w:tmpl w:val="58EC9FF9"/>
    <w:lvl w:ilvl="0" w:tentative="0">
      <w:start w:val="2"/>
      <w:numFmt w:val="decimal"/>
      <w:suff w:val="nothing"/>
      <w:lvlText w:val="%1、"/>
      <w:lvlJc w:val="left"/>
      <w:pPr>
        <w:ind w:left="197"/>
      </w:pPr>
    </w:lvl>
  </w:abstractNum>
  <w:abstractNum w:abstractNumId="1">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5OWIzNTUwYTlhNWJlOTI3MzgyMzk5Y2I1ZjA2OGIifQ=="/>
  </w:docVars>
  <w:rsids>
    <w:rsidRoot w:val="007A683D"/>
    <w:rsid w:val="00002E81"/>
    <w:rsid w:val="00007AD8"/>
    <w:rsid w:val="00010D82"/>
    <w:rsid w:val="00016F28"/>
    <w:rsid w:val="00017150"/>
    <w:rsid w:val="00022E18"/>
    <w:rsid w:val="00026152"/>
    <w:rsid w:val="00031B04"/>
    <w:rsid w:val="00036751"/>
    <w:rsid w:val="00036EEF"/>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CD7511"/>
    <w:rsid w:val="022E6D4C"/>
    <w:rsid w:val="02317836"/>
    <w:rsid w:val="02430B2B"/>
    <w:rsid w:val="02E836CB"/>
    <w:rsid w:val="03386882"/>
    <w:rsid w:val="0341028B"/>
    <w:rsid w:val="03C93DE4"/>
    <w:rsid w:val="03CF276F"/>
    <w:rsid w:val="03FE7515"/>
    <w:rsid w:val="04104985"/>
    <w:rsid w:val="04A077D4"/>
    <w:rsid w:val="05052E25"/>
    <w:rsid w:val="062126EF"/>
    <w:rsid w:val="0662250D"/>
    <w:rsid w:val="069756C9"/>
    <w:rsid w:val="06AB431A"/>
    <w:rsid w:val="06EA41D2"/>
    <w:rsid w:val="06F82B78"/>
    <w:rsid w:val="072E42E3"/>
    <w:rsid w:val="0738415D"/>
    <w:rsid w:val="07D729CE"/>
    <w:rsid w:val="07EB02CF"/>
    <w:rsid w:val="08404482"/>
    <w:rsid w:val="0866595F"/>
    <w:rsid w:val="0902037C"/>
    <w:rsid w:val="0968446C"/>
    <w:rsid w:val="09880AD8"/>
    <w:rsid w:val="0AA5328F"/>
    <w:rsid w:val="0AB80054"/>
    <w:rsid w:val="0B134589"/>
    <w:rsid w:val="0B7E48FD"/>
    <w:rsid w:val="0BFB0153"/>
    <w:rsid w:val="0CA00E3D"/>
    <w:rsid w:val="0CFC2EE8"/>
    <w:rsid w:val="0D417D41"/>
    <w:rsid w:val="0D674D12"/>
    <w:rsid w:val="0DF26CD2"/>
    <w:rsid w:val="0E2F068D"/>
    <w:rsid w:val="0E545AFA"/>
    <w:rsid w:val="0F4628FA"/>
    <w:rsid w:val="0F594D76"/>
    <w:rsid w:val="0F9B2B5E"/>
    <w:rsid w:val="0FB34829"/>
    <w:rsid w:val="0FD13773"/>
    <w:rsid w:val="0FF24AF1"/>
    <w:rsid w:val="105B51DC"/>
    <w:rsid w:val="10B02E63"/>
    <w:rsid w:val="10C14D02"/>
    <w:rsid w:val="11C22947"/>
    <w:rsid w:val="11C305EE"/>
    <w:rsid w:val="11C96F3F"/>
    <w:rsid w:val="130434C8"/>
    <w:rsid w:val="1308440F"/>
    <w:rsid w:val="130E2214"/>
    <w:rsid w:val="13404493"/>
    <w:rsid w:val="135607B7"/>
    <w:rsid w:val="1363049F"/>
    <w:rsid w:val="13B6593C"/>
    <w:rsid w:val="13BB5EEE"/>
    <w:rsid w:val="14537884"/>
    <w:rsid w:val="14593BBF"/>
    <w:rsid w:val="147A1E7C"/>
    <w:rsid w:val="14B538EB"/>
    <w:rsid w:val="14D56C28"/>
    <w:rsid w:val="151C338A"/>
    <w:rsid w:val="1565002B"/>
    <w:rsid w:val="15E45DCF"/>
    <w:rsid w:val="164973BC"/>
    <w:rsid w:val="16D229E9"/>
    <w:rsid w:val="173D66F2"/>
    <w:rsid w:val="17430389"/>
    <w:rsid w:val="175C0959"/>
    <w:rsid w:val="177941D0"/>
    <w:rsid w:val="177A552B"/>
    <w:rsid w:val="17DC532F"/>
    <w:rsid w:val="17EF566D"/>
    <w:rsid w:val="182301F7"/>
    <w:rsid w:val="186802BC"/>
    <w:rsid w:val="18800267"/>
    <w:rsid w:val="19201D08"/>
    <w:rsid w:val="19731B79"/>
    <w:rsid w:val="198122A9"/>
    <w:rsid w:val="1A024AC4"/>
    <w:rsid w:val="1AA57B5F"/>
    <w:rsid w:val="1B260840"/>
    <w:rsid w:val="1B8E24F5"/>
    <w:rsid w:val="1BE761D2"/>
    <w:rsid w:val="1BEC42DB"/>
    <w:rsid w:val="1C2407D2"/>
    <w:rsid w:val="1C392717"/>
    <w:rsid w:val="1D314742"/>
    <w:rsid w:val="1DB73C31"/>
    <w:rsid w:val="1E5006DD"/>
    <w:rsid w:val="1E626810"/>
    <w:rsid w:val="1E7C1444"/>
    <w:rsid w:val="1EAC2E59"/>
    <w:rsid w:val="1EE44777"/>
    <w:rsid w:val="1F3A1F0D"/>
    <w:rsid w:val="1F515A41"/>
    <w:rsid w:val="20673947"/>
    <w:rsid w:val="207B35E0"/>
    <w:rsid w:val="208E2D86"/>
    <w:rsid w:val="20A41BDD"/>
    <w:rsid w:val="21354379"/>
    <w:rsid w:val="21432F64"/>
    <w:rsid w:val="21D218F6"/>
    <w:rsid w:val="21EE38EF"/>
    <w:rsid w:val="224A72AF"/>
    <w:rsid w:val="22547760"/>
    <w:rsid w:val="22723839"/>
    <w:rsid w:val="230B6C59"/>
    <w:rsid w:val="23C823BC"/>
    <w:rsid w:val="23EA7118"/>
    <w:rsid w:val="24057464"/>
    <w:rsid w:val="24720BE5"/>
    <w:rsid w:val="24A42D4D"/>
    <w:rsid w:val="24D16CAE"/>
    <w:rsid w:val="24D34D10"/>
    <w:rsid w:val="24E55FF4"/>
    <w:rsid w:val="24F46692"/>
    <w:rsid w:val="25D57113"/>
    <w:rsid w:val="2673562F"/>
    <w:rsid w:val="26D60601"/>
    <w:rsid w:val="26E51EF5"/>
    <w:rsid w:val="26EB3A75"/>
    <w:rsid w:val="26FE01DA"/>
    <w:rsid w:val="28012834"/>
    <w:rsid w:val="28017784"/>
    <w:rsid w:val="287F157E"/>
    <w:rsid w:val="28D41922"/>
    <w:rsid w:val="28DD78F7"/>
    <w:rsid w:val="29B07417"/>
    <w:rsid w:val="29CC726F"/>
    <w:rsid w:val="29D5537D"/>
    <w:rsid w:val="29E52E0E"/>
    <w:rsid w:val="2AD02892"/>
    <w:rsid w:val="2AED414D"/>
    <w:rsid w:val="2B7A199A"/>
    <w:rsid w:val="2B812B85"/>
    <w:rsid w:val="2BB97180"/>
    <w:rsid w:val="2C5300D5"/>
    <w:rsid w:val="2D2864D4"/>
    <w:rsid w:val="2D6405B3"/>
    <w:rsid w:val="2DAA40C0"/>
    <w:rsid w:val="2DD32383"/>
    <w:rsid w:val="2DE50909"/>
    <w:rsid w:val="2E1C1783"/>
    <w:rsid w:val="2E917FC7"/>
    <w:rsid w:val="2EB1759E"/>
    <w:rsid w:val="2EE72320"/>
    <w:rsid w:val="2EE8455C"/>
    <w:rsid w:val="2FC414F3"/>
    <w:rsid w:val="2FE60929"/>
    <w:rsid w:val="2FF058D0"/>
    <w:rsid w:val="30D70117"/>
    <w:rsid w:val="30E42F09"/>
    <w:rsid w:val="31274B61"/>
    <w:rsid w:val="314B29C9"/>
    <w:rsid w:val="31922776"/>
    <w:rsid w:val="31B441AF"/>
    <w:rsid w:val="320464E9"/>
    <w:rsid w:val="32A81084"/>
    <w:rsid w:val="32D70991"/>
    <w:rsid w:val="33B2679E"/>
    <w:rsid w:val="33DC14FA"/>
    <w:rsid w:val="34F34C56"/>
    <w:rsid w:val="35142FEF"/>
    <w:rsid w:val="357A5788"/>
    <w:rsid w:val="360308BC"/>
    <w:rsid w:val="36147632"/>
    <w:rsid w:val="36530971"/>
    <w:rsid w:val="36561BAE"/>
    <w:rsid w:val="36610C56"/>
    <w:rsid w:val="366B24CA"/>
    <w:rsid w:val="37133678"/>
    <w:rsid w:val="376916D4"/>
    <w:rsid w:val="376E6E4C"/>
    <w:rsid w:val="37B02A3E"/>
    <w:rsid w:val="38095396"/>
    <w:rsid w:val="385666E5"/>
    <w:rsid w:val="386046B4"/>
    <w:rsid w:val="38DB70E7"/>
    <w:rsid w:val="3AD16F1E"/>
    <w:rsid w:val="3B192EFF"/>
    <w:rsid w:val="3B8D6CB0"/>
    <w:rsid w:val="3BCE25E6"/>
    <w:rsid w:val="3C1B106D"/>
    <w:rsid w:val="3C2D2B00"/>
    <w:rsid w:val="3CEA2ACF"/>
    <w:rsid w:val="3D0C77C5"/>
    <w:rsid w:val="3D48523F"/>
    <w:rsid w:val="3D8B06B4"/>
    <w:rsid w:val="3DC46A40"/>
    <w:rsid w:val="3EEE3945"/>
    <w:rsid w:val="3F3618F0"/>
    <w:rsid w:val="3FC14E74"/>
    <w:rsid w:val="40275E65"/>
    <w:rsid w:val="404A6865"/>
    <w:rsid w:val="40731D0B"/>
    <w:rsid w:val="40BD25B1"/>
    <w:rsid w:val="41540A99"/>
    <w:rsid w:val="415F21EB"/>
    <w:rsid w:val="41BC1F10"/>
    <w:rsid w:val="424B3AFB"/>
    <w:rsid w:val="42E21C31"/>
    <w:rsid w:val="42E250CC"/>
    <w:rsid w:val="43765341"/>
    <w:rsid w:val="45955C53"/>
    <w:rsid w:val="45E60474"/>
    <w:rsid w:val="46886E13"/>
    <w:rsid w:val="46C1077C"/>
    <w:rsid w:val="46CE0949"/>
    <w:rsid w:val="471E71E4"/>
    <w:rsid w:val="476756F9"/>
    <w:rsid w:val="47756B56"/>
    <w:rsid w:val="478F3EA7"/>
    <w:rsid w:val="47AD3F78"/>
    <w:rsid w:val="482B5C12"/>
    <w:rsid w:val="492C3528"/>
    <w:rsid w:val="49B4651F"/>
    <w:rsid w:val="49D066E0"/>
    <w:rsid w:val="49D639C4"/>
    <w:rsid w:val="49E329B9"/>
    <w:rsid w:val="4A9C1DE8"/>
    <w:rsid w:val="4AED1B3A"/>
    <w:rsid w:val="4B49722A"/>
    <w:rsid w:val="4CE6400E"/>
    <w:rsid w:val="4CF906E8"/>
    <w:rsid w:val="4D5670A7"/>
    <w:rsid w:val="4D5D1F52"/>
    <w:rsid w:val="4D8E5624"/>
    <w:rsid w:val="4DBC63C0"/>
    <w:rsid w:val="4DE278B4"/>
    <w:rsid w:val="4E540763"/>
    <w:rsid w:val="4E72442D"/>
    <w:rsid w:val="4EB0364A"/>
    <w:rsid w:val="4F5D7111"/>
    <w:rsid w:val="4F8E36B5"/>
    <w:rsid w:val="4FA45F82"/>
    <w:rsid w:val="4FC20AA7"/>
    <w:rsid w:val="4FE80B78"/>
    <w:rsid w:val="4FF026F6"/>
    <w:rsid w:val="4FF450E6"/>
    <w:rsid w:val="505F1EFD"/>
    <w:rsid w:val="50B70587"/>
    <w:rsid w:val="50F2027E"/>
    <w:rsid w:val="513D1102"/>
    <w:rsid w:val="519A03E7"/>
    <w:rsid w:val="520D75A1"/>
    <w:rsid w:val="521024B8"/>
    <w:rsid w:val="521D55E0"/>
    <w:rsid w:val="523978C1"/>
    <w:rsid w:val="52DD0A68"/>
    <w:rsid w:val="52EC7E76"/>
    <w:rsid w:val="5345588D"/>
    <w:rsid w:val="536D2D99"/>
    <w:rsid w:val="53B034DF"/>
    <w:rsid w:val="54DE0F4F"/>
    <w:rsid w:val="54E53259"/>
    <w:rsid w:val="54E97D97"/>
    <w:rsid w:val="55B769EE"/>
    <w:rsid w:val="560B1770"/>
    <w:rsid w:val="563D07A6"/>
    <w:rsid w:val="568527A9"/>
    <w:rsid w:val="57471CB2"/>
    <w:rsid w:val="57787D9B"/>
    <w:rsid w:val="577C1E80"/>
    <w:rsid w:val="579E6879"/>
    <w:rsid w:val="57CC04FE"/>
    <w:rsid w:val="57F92A08"/>
    <w:rsid w:val="588C0AAD"/>
    <w:rsid w:val="58AA3B72"/>
    <w:rsid w:val="58D572AE"/>
    <w:rsid w:val="58F05AD9"/>
    <w:rsid w:val="59036554"/>
    <w:rsid w:val="59200143"/>
    <w:rsid w:val="5A812E59"/>
    <w:rsid w:val="5A995DAB"/>
    <w:rsid w:val="5ABA7460"/>
    <w:rsid w:val="5AF779F8"/>
    <w:rsid w:val="5B9C24F1"/>
    <w:rsid w:val="5B9E50D3"/>
    <w:rsid w:val="5BAD38CE"/>
    <w:rsid w:val="5BB46CAC"/>
    <w:rsid w:val="5C105F94"/>
    <w:rsid w:val="5C251D7A"/>
    <w:rsid w:val="5C334FC4"/>
    <w:rsid w:val="5CBF064C"/>
    <w:rsid w:val="5CFA1CEF"/>
    <w:rsid w:val="5D2C49EA"/>
    <w:rsid w:val="5DB73653"/>
    <w:rsid w:val="5DE44F8E"/>
    <w:rsid w:val="5DFC5EA7"/>
    <w:rsid w:val="5E2F576D"/>
    <w:rsid w:val="5E4274C8"/>
    <w:rsid w:val="5EC82C37"/>
    <w:rsid w:val="5EF210D2"/>
    <w:rsid w:val="5F042BD4"/>
    <w:rsid w:val="5F230F76"/>
    <w:rsid w:val="5F2447E2"/>
    <w:rsid w:val="5F2E790D"/>
    <w:rsid w:val="602A170A"/>
    <w:rsid w:val="60437933"/>
    <w:rsid w:val="605A28BD"/>
    <w:rsid w:val="609A1D6F"/>
    <w:rsid w:val="610B183C"/>
    <w:rsid w:val="61613AC5"/>
    <w:rsid w:val="61D640C8"/>
    <w:rsid w:val="620577A7"/>
    <w:rsid w:val="621D5FD0"/>
    <w:rsid w:val="625351F3"/>
    <w:rsid w:val="62553A9B"/>
    <w:rsid w:val="62A954D2"/>
    <w:rsid w:val="638E01A3"/>
    <w:rsid w:val="63D66D3A"/>
    <w:rsid w:val="64196F81"/>
    <w:rsid w:val="6445786C"/>
    <w:rsid w:val="65797BB8"/>
    <w:rsid w:val="65C02314"/>
    <w:rsid w:val="65FA5B9B"/>
    <w:rsid w:val="67557264"/>
    <w:rsid w:val="67AC14B0"/>
    <w:rsid w:val="67BB6286"/>
    <w:rsid w:val="68517281"/>
    <w:rsid w:val="68567627"/>
    <w:rsid w:val="68D04495"/>
    <w:rsid w:val="68F92250"/>
    <w:rsid w:val="69247457"/>
    <w:rsid w:val="698A4060"/>
    <w:rsid w:val="69E14866"/>
    <w:rsid w:val="6A3B5037"/>
    <w:rsid w:val="6B7867DE"/>
    <w:rsid w:val="6B930322"/>
    <w:rsid w:val="6BA90006"/>
    <w:rsid w:val="6BF65381"/>
    <w:rsid w:val="6C161E18"/>
    <w:rsid w:val="6CBB08C6"/>
    <w:rsid w:val="6D2A351D"/>
    <w:rsid w:val="6D2C5AA6"/>
    <w:rsid w:val="6D372470"/>
    <w:rsid w:val="6E3431D3"/>
    <w:rsid w:val="6E815E20"/>
    <w:rsid w:val="6EC35D97"/>
    <w:rsid w:val="6F827E1F"/>
    <w:rsid w:val="6FBE33DD"/>
    <w:rsid w:val="70695629"/>
    <w:rsid w:val="70C52A09"/>
    <w:rsid w:val="71A67CDA"/>
    <w:rsid w:val="71C9438B"/>
    <w:rsid w:val="71EB232F"/>
    <w:rsid w:val="71F22395"/>
    <w:rsid w:val="72022025"/>
    <w:rsid w:val="722C0B88"/>
    <w:rsid w:val="72E03AF4"/>
    <w:rsid w:val="73145917"/>
    <w:rsid w:val="732F3A9D"/>
    <w:rsid w:val="73310943"/>
    <w:rsid w:val="736E713E"/>
    <w:rsid w:val="73821076"/>
    <w:rsid w:val="73AA2969"/>
    <w:rsid w:val="73B22405"/>
    <w:rsid w:val="73CF1F2D"/>
    <w:rsid w:val="73FC1BEE"/>
    <w:rsid w:val="74822716"/>
    <w:rsid w:val="74A77D79"/>
    <w:rsid w:val="74BB2C8C"/>
    <w:rsid w:val="74C73DBB"/>
    <w:rsid w:val="74EE2280"/>
    <w:rsid w:val="750D3D28"/>
    <w:rsid w:val="756176A1"/>
    <w:rsid w:val="75C5459B"/>
    <w:rsid w:val="765866EF"/>
    <w:rsid w:val="766429FA"/>
    <w:rsid w:val="767F3628"/>
    <w:rsid w:val="76D45B66"/>
    <w:rsid w:val="76FE2417"/>
    <w:rsid w:val="771E653D"/>
    <w:rsid w:val="77222009"/>
    <w:rsid w:val="7763578D"/>
    <w:rsid w:val="788E700F"/>
    <w:rsid w:val="794006DB"/>
    <w:rsid w:val="79BC6270"/>
    <w:rsid w:val="79D85CE8"/>
    <w:rsid w:val="7A1E0BB7"/>
    <w:rsid w:val="7A322C02"/>
    <w:rsid w:val="7AF65F04"/>
    <w:rsid w:val="7B052BD7"/>
    <w:rsid w:val="7B072853"/>
    <w:rsid w:val="7B5B2FAF"/>
    <w:rsid w:val="7BA10F88"/>
    <w:rsid w:val="7CA44252"/>
    <w:rsid w:val="7DA40457"/>
    <w:rsid w:val="7DB479EE"/>
    <w:rsid w:val="7DCD6635"/>
    <w:rsid w:val="7E9C1324"/>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5"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qFormat/>
    <w:uiPriority w:val="0"/>
    <w:pPr>
      <w:spacing w:after="120" w:line="240" w:lineRule="auto"/>
    </w:pPr>
    <w:rPr>
      <w:rFonts w:ascii="宋体"/>
      <w:kern w:val="0"/>
      <w:sz w:val="34"/>
      <w:szCs w:val="20"/>
    </w:rPr>
  </w:style>
  <w:style w:type="paragraph" w:styleId="6">
    <w:name w:val="toc 7"/>
    <w:basedOn w:val="1"/>
    <w:next w:val="1"/>
    <w:qFormat/>
    <w:uiPriority w:val="0"/>
    <w:pPr>
      <w:ind w:left="2520" w:leftChars="1200"/>
    </w:pPr>
  </w:style>
  <w:style w:type="paragraph" w:styleId="7">
    <w:name w:val="Normal Indent"/>
    <w:basedOn w:val="1"/>
    <w:qFormat/>
    <w:uiPriority w:val="0"/>
    <w:pPr>
      <w:ind w:firstLine="200" w:firstLineChars="200"/>
    </w:pPr>
  </w:style>
  <w:style w:type="paragraph" w:styleId="8">
    <w:name w:val="Document Map"/>
    <w:basedOn w:val="1"/>
    <w:link w:val="34"/>
    <w:qFormat/>
    <w:uiPriority w:val="0"/>
    <w:rPr>
      <w:rFonts w:ascii="宋体"/>
      <w:sz w:val="18"/>
      <w:szCs w:val="18"/>
    </w:rPr>
  </w:style>
  <w:style w:type="paragraph" w:styleId="9">
    <w:name w:val="annotation text"/>
    <w:basedOn w:val="1"/>
    <w:link w:val="32"/>
    <w:qFormat/>
    <w:uiPriority w:val="0"/>
    <w:pPr>
      <w:jc w:val="left"/>
    </w:pPr>
  </w:style>
  <w:style w:type="paragraph" w:styleId="10">
    <w:name w:val="Body Text Indent"/>
    <w:basedOn w:val="1"/>
    <w:qFormat/>
    <w:uiPriority w:val="0"/>
    <w:pPr>
      <w:ind w:firstLine="630"/>
    </w:pPr>
    <w:rPr>
      <w:sz w:val="32"/>
      <w:szCs w:val="20"/>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toc 8"/>
    <w:basedOn w:val="1"/>
    <w:next w:val="1"/>
    <w:qFormat/>
    <w:uiPriority w:val="0"/>
    <w:pPr>
      <w:ind w:left="2940" w:leftChars="1400"/>
    </w:pPr>
  </w:style>
  <w:style w:type="paragraph" w:styleId="14">
    <w:name w:val="Balloon Text"/>
    <w:basedOn w:val="1"/>
    <w:link w:val="31"/>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9"/>
    <w:next w:val="9"/>
    <w:link w:val="38"/>
    <w:qFormat/>
    <w:uiPriority w:val="0"/>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FollowedHyperlink"/>
    <w:basedOn w:val="26"/>
    <w:semiHidden/>
    <w:unhideWhenUsed/>
    <w:qFormat/>
    <w:uiPriority w:val="0"/>
    <w:rPr>
      <w:color w:val="954F72" w:themeColor="followedHyperlink"/>
      <w:u w:val="single"/>
    </w:rPr>
  </w:style>
  <w:style w:type="character" w:styleId="29">
    <w:name w:val="Hyperlink"/>
    <w:basedOn w:val="26"/>
    <w:unhideWhenUsed/>
    <w:qFormat/>
    <w:uiPriority w:val="99"/>
    <w:rPr>
      <w:color w:val="0563C1" w:themeColor="hyperlink"/>
      <w:u w:val="single"/>
    </w:rPr>
  </w:style>
  <w:style w:type="character" w:styleId="30">
    <w:name w:val="annotation reference"/>
    <w:qFormat/>
    <w:uiPriority w:val="99"/>
    <w:rPr>
      <w:sz w:val="21"/>
      <w:szCs w:val="21"/>
    </w:rPr>
  </w:style>
  <w:style w:type="character" w:customStyle="1" w:styleId="31">
    <w:name w:val="批注框文本 Char"/>
    <w:link w:val="14"/>
    <w:qFormat/>
    <w:uiPriority w:val="0"/>
    <w:rPr>
      <w:kern w:val="2"/>
      <w:sz w:val="18"/>
      <w:szCs w:val="18"/>
    </w:rPr>
  </w:style>
  <w:style w:type="character" w:customStyle="1" w:styleId="32">
    <w:name w:val="批注文字 Char"/>
    <w:link w:val="9"/>
    <w:qFormat/>
    <w:uiPriority w:val="0"/>
    <w:rPr>
      <w:kern w:val="2"/>
      <w:sz w:val="21"/>
      <w:szCs w:val="24"/>
    </w:rPr>
  </w:style>
  <w:style w:type="character" w:customStyle="1" w:styleId="33">
    <w:name w:val="font91"/>
    <w:qFormat/>
    <w:uiPriority w:val="0"/>
    <w:rPr>
      <w:rFonts w:hint="eastAsia" w:ascii="宋体" w:hAnsi="宋体" w:eastAsia="宋体" w:cs="宋体"/>
      <w:color w:val="FF0000"/>
      <w:sz w:val="21"/>
      <w:szCs w:val="21"/>
      <w:u w:val="single"/>
    </w:rPr>
  </w:style>
  <w:style w:type="character" w:customStyle="1" w:styleId="34">
    <w:name w:val="文档结构图 Char"/>
    <w:link w:val="8"/>
    <w:qFormat/>
    <w:uiPriority w:val="0"/>
    <w:rPr>
      <w:rFonts w:ascii="宋体"/>
      <w:kern w:val="2"/>
      <w:sz w:val="18"/>
      <w:szCs w:val="18"/>
    </w:rPr>
  </w:style>
  <w:style w:type="character" w:customStyle="1" w:styleId="35">
    <w:name w:val="font101"/>
    <w:qFormat/>
    <w:uiPriority w:val="0"/>
    <w:rPr>
      <w:rFonts w:hint="eastAsia" w:ascii="宋体" w:hAnsi="宋体" w:eastAsia="宋体" w:cs="宋体"/>
      <w:color w:val="000000"/>
      <w:sz w:val="21"/>
      <w:szCs w:val="21"/>
      <w:u w:val="single"/>
    </w:rPr>
  </w:style>
  <w:style w:type="character" w:customStyle="1" w:styleId="36">
    <w:name w:val="font111"/>
    <w:qFormat/>
    <w:uiPriority w:val="0"/>
    <w:rPr>
      <w:rFonts w:hint="default" w:ascii="Eʩ" w:hAnsi="Eʩ" w:eastAsia="Eʩ" w:cs="Eʩ"/>
      <w:color w:val="000000"/>
      <w:sz w:val="21"/>
      <w:szCs w:val="21"/>
      <w:u w:val="single"/>
    </w:rPr>
  </w:style>
  <w:style w:type="character" w:customStyle="1" w:styleId="37">
    <w:name w:val="font31"/>
    <w:qFormat/>
    <w:uiPriority w:val="0"/>
    <w:rPr>
      <w:rFonts w:hint="eastAsia" w:ascii="宋体" w:hAnsi="宋体" w:eastAsia="宋体" w:cs="宋体"/>
      <w:color w:val="000000"/>
      <w:sz w:val="21"/>
      <w:szCs w:val="21"/>
      <w:u w:val="none"/>
    </w:rPr>
  </w:style>
  <w:style w:type="character" w:customStyle="1" w:styleId="38">
    <w:name w:val="批注主题 Char"/>
    <w:link w:val="23"/>
    <w:qFormat/>
    <w:uiPriority w:val="0"/>
    <w:rPr>
      <w:b/>
      <w:bCs/>
      <w:kern w:val="2"/>
      <w:sz w:val="21"/>
      <w:szCs w:val="24"/>
    </w:rPr>
  </w:style>
  <w:style w:type="character" w:customStyle="1" w:styleId="39">
    <w:name w:val="标题 1 Char"/>
    <w:link w:val="3"/>
    <w:qFormat/>
    <w:uiPriority w:val="0"/>
    <w:rPr>
      <w:b/>
      <w:bCs/>
      <w:kern w:val="44"/>
      <w:sz w:val="44"/>
      <w:szCs w:val="44"/>
    </w:rPr>
  </w:style>
  <w:style w:type="paragraph" w:customStyle="1" w:styleId="40">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qFormat/>
    <w:uiPriority w:val="0"/>
    <w:pPr>
      <w:spacing w:line="360" w:lineRule="auto"/>
      <w:ind w:firstLine="200" w:firstLineChars="200"/>
    </w:pPr>
  </w:style>
  <w:style w:type="character" w:customStyle="1" w:styleId="44">
    <w:name w:val="批注文字 Char1"/>
    <w:basedOn w:val="26"/>
    <w:qFormat/>
    <w:uiPriority w:val="0"/>
    <w:rPr>
      <w:rFonts w:ascii="Times New Roman" w:hAnsi="Times New Roman" w:eastAsia="宋体" w:cs="Times New Roman"/>
      <w:szCs w:val="24"/>
    </w:rPr>
  </w:style>
  <w:style w:type="paragraph" w:customStyle="1" w:styleId="45">
    <w:name w:val="Revision"/>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qFormat/>
    <w:uiPriority w:val="99"/>
    <w:rPr>
      <w:kern w:val="2"/>
      <w:sz w:val="18"/>
    </w:rPr>
  </w:style>
  <w:style w:type="paragraph" w:styleId="47">
    <w:name w:val="List Paragraph"/>
    <w:basedOn w:val="1"/>
    <w:unhideWhenUsed/>
    <w:qFormat/>
    <w:uiPriority w:val="99"/>
    <w:pPr>
      <w:ind w:firstLine="420" w:firstLineChars="200"/>
    </w:pPr>
  </w:style>
  <w:style w:type="character" w:customStyle="1" w:styleId="48">
    <w:name w:val="标题 3 Char"/>
    <w:link w:val="5"/>
    <w:qFormat/>
    <w:uiPriority w:val="0"/>
    <w:rPr>
      <w:b/>
      <w:bCs/>
      <w:kern w:val="2"/>
      <w:sz w:val="32"/>
      <w:szCs w:val="32"/>
    </w:rPr>
  </w:style>
  <w:style w:type="paragraph" w:customStyle="1" w:styleId="49">
    <w:name w:val="Default"/>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4"/>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2"/>
    <w:qFormat/>
    <w:uiPriority w:val="0"/>
    <w:rPr>
      <w:rFonts w:ascii="宋体"/>
      <w:sz w:val="34"/>
    </w:rPr>
  </w:style>
  <w:style w:type="character" w:customStyle="1" w:styleId="52">
    <w:name w:val="正文文本 Char1"/>
    <w:basedOn w:val="26"/>
    <w:link w:val="2"/>
    <w:semiHidden/>
    <w:qFormat/>
    <w:uiPriority w:val="0"/>
    <w:rPr>
      <w:kern w:val="2"/>
      <w:sz w:val="21"/>
      <w:szCs w:val="24"/>
    </w:rPr>
  </w:style>
  <w:style w:type="paragraph" w:customStyle="1" w:styleId="53">
    <w:name w:val="标3"/>
    <w:basedOn w:val="1"/>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E3BE212-0A6E-46DC-B69E-245CFC741295}">
  <ds:schemaRefs/>
</ds:datastoreItem>
</file>

<file path=customXml/itemProps2.xml><?xml version="1.0" encoding="utf-8"?>
<ds:datastoreItem xmlns:ds="http://schemas.openxmlformats.org/officeDocument/2006/customXml" ds:itemID="{FBA43861-14FE-4093-B78A-4FF122DC2B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24770</Words>
  <Characters>25791</Characters>
  <Lines>188</Lines>
  <Paragraphs>53</Paragraphs>
  <TotalTime>0</TotalTime>
  <ScaleCrop>false</ScaleCrop>
  <LinksUpToDate>false</LinksUpToDate>
  <CharactersWithSpaces>26185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Administrator</cp:lastModifiedBy>
  <cp:lastPrinted>2022-12-30T00:27:00Z</cp:lastPrinted>
  <dcterms:modified xsi:type="dcterms:W3CDTF">2023-05-22T01:48:27Z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2E19B0263DCD48118CD077FE0568B910</vt:lpwstr>
  </property>
</Properties>
</file>