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>四川省骨科医院临床支持服务主要内容</w:t>
      </w:r>
    </w:p>
    <w:p>
      <w:pPr>
        <w:keepNext w:val="0"/>
        <w:keepLines w:val="0"/>
        <w:pageBreakBefore w:val="0"/>
        <w:tabs>
          <w:tab w:val="left" w:pos="123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rightChars="0" w:firstLine="643" w:firstLineChars="200"/>
        <w:textAlignment w:val="auto"/>
        <w:outlineLvl w:val="2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服务内容</w:t>
      </w:r>
    </w:p>
    <w:p>
      <w:pPr>
        <w:keepNext w:val="0"/>
        <w:keepLines w:val="0"/>
        <w:pageBreakBefore w:val="0"/>
        <w:tabs>
          <w:tab w:val="left" w:pos="123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全院范围内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中央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运送服务（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包括但不限于负责患者运送、陪检、标本运送、医疗文书运送、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药品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运送、应急运送、各科室（处室）饮用水运送、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点对点对住院病人送饭及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会议布置、科室搬运、装卸；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后勤物资运送、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电梯乘坐引导等工作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）。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全院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医疗环境清洁消毒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，PVC 和硬地面打蜡、抛光、保养，会场服务等内容。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全院垃圾处理站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运行、管理及维护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垃圾处理站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清洁消毒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、生活垃圾和医疗垃圾院内交接、院外转运登记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在线监测数据填报等工作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陪护</w:t>
      </w:r>
      <w:r>
        <w:rPr>
          <w:rStyle w:val="13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服务</w:t>
      </w:r>
      <w:r>
        <w:rPr>
          <w:rStyle w:val="13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辅医服务</w:t>
      </w:r>
      <w:r>
        <w:rPr>
          <w:rStyle w:val="13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Style w:val="13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陪护病人及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辅医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服务（包括但不限于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更换床单、被套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，病房空气消毒，床单元消毒，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打开水，收发陪床椅，整理病房环境，整理转科病人的物品，协助护士做好病房的被服管理）等工作。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本次临床支持服务包括但不限于提供两个院区的楼宇服务等，须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24小时人员值班，以备突发情况的需求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手术室、供应室、食堂、洗衣房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除外，但医疗废物及生活垃圾收集转运等包含在内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6、根据科室实际临床支持服务人数据实结算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服务时间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shd w:val="clear" w:fill="FFFFFF"/>
          <w:lang w:val="en-US" w:eastAsia="zh-CN"/>
        </w:rPr>
        <w:t>及其他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本招标服务项目起止期限为36个月，预计时间为202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2月-202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月，具体时间以采购人通知为准。履约合同双方为1年1签制。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本项目2个院区2个包，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由不同的供应商提供服务。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42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Style w:val="13"/>
          <w:rFonts w:hint="eastAsia" w:ascii="仿宋" w:hAnsi="仿宋" w:eastAsia="仿宋" w:cs="仿宋"/>
          <w:b/>
          <w:bCs/>
          <w:color w:val="auto"/>
          <w:sz w:val="32"/>
          <w:szCs w:val="32"/>
        </w:rPr>
        <w:t>要求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必须自行对该项目进行现场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并出具详细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报告和人员配置方案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并完成报价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的工时数需满足医院完全开放的配置标准，实际配置人数以临床需求为准。具体工时安排首先必须满足院方的现场服务需求。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应按照《中华人民共和国劳动法》的相关规定发放工人工资，服务人员工资不得低于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四川省成都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市企业职工最低工资标准（工资不含按国家规定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必须支付的社会保险及其他应付费用）。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应按照《中华人民共和国社会保险法》的相关规定，支付国家规定必须购买的社会保险（包括医疗、养老、工伤、失业、生育）。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-541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负责所有为项目提供服务的人工费、材料费（含物表消毒剂、各类清洁剂等）、工具、设备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医疗废弃物在线监测设备套装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内含软件：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满足政策的变化，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可实现箱码捆绑，以及应对后续政策调整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四川省卫生健康委员会四川省生态环境厅四川省中医药管理局《关于加强医疗废物在线监管工作的通知》完成相关系统的对接工作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600" w:lineRule="exact"/>
        <w:ind w:right="-18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使用的所有材料及产品必须符合国家规定，其产品质量必须达到国家有关质量和健康环保标准，使用前需要提供产品合格证、质量标准和产品化验单。不得对采购人及周围的环境造成二次污染，采购人有权检查、评估并有权拒绝使用不符合标准的清洁用品及材料；浓度需符合采购人的要求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必须响应采购人的服务要求及考核要求。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DBlYjgxMTY5MDRhNjJkZTM3ZGVmMzNhYTAzYzkifQ=="/>
  </w:docVars>
  <w:rsids>
    <w:rsidRoot w:val="00000000"/>
    <w:rsid w:val="0139423D"/>
    <w:rsid w:val="067A3AA4"/>
    <w:rsid w:val="06C91FC5"/>
    <w:rsid w:val="07E92EFE"/>
    <w:rsid w:val="09641007"/>
    <w:rsid w:val="09CB4D0E"/>
    <w:rsid w:val="0BFC1173"/>
    <w:rsid w:val="0D4315E4"/>
    <w:rsid w:val="0F055EC5"/>
    <w:rsid w:val="12096398"/>
    <w:rsid w:val="13785584"/>
    <w:rsid w:val="1424395D"/>
    <w:rsid w:val="15127C5A"/>
    <w:rsid w:val="1AF96828"/>
    <w:rsid w:val="1BAB65F5"/>
    <w:rsid w:val="1C220782"/>
    <w:rsid w:val="1C533032"/>
    <w:rsid w:val="1C6216A7"/>
    <w:rsid w:val="1C760ACE"/>
    <w:rsid w:val="1CE5346D"/>
    <w:rsid w:val="1F5844BB"/>
    <w:rsid w:val="21A22AE0"/>
    <w:rsid w:val="22350AE4"/>
    <w:rsid w:val="260175B7"/>
    <w:rsid w:val="26BC7A25"/>
    <w:rsid w:val="2C526E62"/>
    <w:rsid w:val="30183F1E"/>
    <w:rsid w:val="31BD4271"/>
    <w:rsid w:val="31C3419C"/>
    <w:rsid w:val="33F425AD"/>
    <w:rsid w:val="375137EE"/>
    <w:rsid w:val="3836588A"/>
    <w:rsid w:val="38CD7A52"/>
    <w:rsid w:val="39E26302"/>
    <w:rsid w:val="3AB900AC"/>
    <w:rsid w:val="3D8452A4"/>
    <w:rsid w:val="3E207048"/>
    <w:rsid w:val="3FA532F5"/>
    <w:rsid w:val="443133A9"/>
    <w:rsid w:val="44F50575"/>
    <w:rsid w:val="453C3DB3"/>
    <w:rsid w:val="48150FD0"/>
    <w:rsid w:val="4D5D3FEC"/>
    <w:rsid w:val="4D673D60"/>
    <w:rsid w:val="548D1CF7"/>
    <w:rsid w:val="54BC6CBF"/>
    <w:rsid w:val="55191A1B"/>
    <w:rsid w:val="59710078"/>
    <w:rsid w:val="59CA7788"/>
    <w:rsid w:val="5C9D1075"/>
    <w:rsid w:val="5EAB2C34"/>
    <w:rsid w:val="5EC62C14"/>
    <w:rsid w:val="5F2D587F"/>
    <w:rsid w:val="5F950838"/>
    <w:rsid w:val="60363DC9"/>
    <w:rsid w:val="678E487C"/>
    <w:rsid w:val="68880F3A"/>
    <w:rsid w:val="68EC0364"/>
    <w:rsid w:val="6AD62A94"/>
    <w:rsid w:val="6BF425E5"/>
    <w:rsid w:val="6CD56718"/>
    <w:rsid w:val="6D5B1D09"/>
    <w:rsid w:val="6DD95D94"/>
    <w:rsid w:val="6FD902CD"/>
    <w:rsid w:val="712711B6"/>
    <w:rsid w:val="71891C62"/>
    <w:rsid w:val="71AC5F0B"/>
    <w:rsid w:val="71E03260"/>
    <w:rsid w:val="72EA3E21"/>
    <w:rsid w:val="73094512"/>
    <w:rsid w:val="73B01345"/>
    <w:rsid w:val="73F93445"/>
    <w:rsid w:val="75564CDF"/>
    <w:rsid w:val="75DE03EB"/>
    <w:rsid w:val="79912C91"/>
    <w:rsid w:val="7A164CDB"/>
    <w:rsid w:val="7B290624"/>
    <w:rsid w:val="7BD21BBA"/>
    <w:rsid w:val="7D170E3F"/>
    <w:rsid w:val="7EE74459"/>
    <w:rsid w:val="7FB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lock Text"/>
    <w:basedOn w:val="1"/>
    <w:qFormat/>
    <w:uiPriority w:val="0"/>
    <w:pPr>
      <w:ind w:left="-540" w:leftChars="-257" w:right="-334" w:rightChars="-159" w:firstLine="540" w:firstLineChars="180"/>
    </w:pPr>
    <w:rPr>
      <w:sz w:val="3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0" w:after="108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2110</Words>
  <Characters>2273</Characters>
  <Lines>0</Lines>
  <Paragraphs>0</Paragraphs>
  <TotalTime>2</TotalTime>
  <ScaleCrop>false</ScaleCrop>
  <LinksUpToDate>false</LinksUpToDate>
  <CharactersWithSpaces>2290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2022-04-26T03:17:00Z</dcterms:created>
  <dc:creator>Administrator</dc:creator>
  <cp:lastModifiedBy>ASUS</cp:lastModifiedBy>
  <cp:lastPrinted>2023-04-21T08:39:00Z</cp:lastPrinted>
  <dcterms:modified xsi:type="dcterms:W3CDTF">2023-04-27T03:58:43Z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9935E9961EFD40E4868EC395F66CAECC_13</vt:lpwstr>
  </property>
</Properties>
</file>