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left"/>
        <w:textAlignment w:val="auto"/>
        <w:rPr>
          <w:rFonts w:hint="default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3092" w:firstLineChars="11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/>
        </w:rPr>
        <w:t>项目内容及具体工作任务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621" w:firstLineChars="221"/>
        <w:jc w:val="left"/>
        <w:textAlignment w:val="auto"/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（一）中医药文化、医院文化宣传栏</w:t>
      </w:r>
    </w:p>
    <w:tbl>
      <w:tblPr>
        <w:tblStyle w:val="4"/>
        <w:tblW w:w="9344" w:type="dxa"/>
        <w:tblInd w:w="5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5"/>
        <w:gridCol w:w="3030"/>
        <w:gridCol w:w="33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规格（单位：cm）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安装位置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150×100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门诊4、5、6楼走廊区域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40×70  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门诊4、5楼候诊区域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150×200  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门诊两侧步梯拐角区域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60×60   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门诊两侧步梯墙体立面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60×120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楼中药房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外侧区域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新装修后的干保治疗区域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621" w:firstLineChars="221"/>
        <w:jc w:val="left"/>
        <w:textAlignment w:val="auto"/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（二）体现中医药文化元素、医院文化元素的标志标识</w:t>
      </w:r>
    </w:p>
    <w:tbl>
      <w:tblPr>
        <w:tblStyle w:val="4"/>
        <w:tblW w:w="9374" w:type="dxa"/>
        <w:tblInd w:w="5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5"/>
        <w:gridCol w:w="3030"/>
        <w:gridCol w:w="33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种类及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规格（单位：cm）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安装位置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诊室门牌（规格待定）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悬吊式指示牌（90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门诊4、5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温馨提示标识（10×60）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门诊两侧步梯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电梯楼层索引（40×60）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门诊楼电梯外侧墙壁、电梯轿厢内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618" w:firstLineChars="221"/>
        <w:jc w:val="left"/>
        <w:textAlignment w:val="auto"/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以上均包括按照干保需求和医院实际需要进行设计、制作、在指定位置安装及售后服务。</w:t>
      </w:r>
    </w:p>
    <w:p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827F5"/>
    <w:rsid w:val="5039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2020-11-09T01:08:00Z</dcterms:created>
  <dc:creator>Administrator</dc:creator>
  <cp:lastModifiedBy>WPS_1606614660</cp:lastModifiedBy>
  <dcterms:modified xsi:type="dcterms:W3CDTF">2021-07-02T07:47:13Z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14AAE596501141C0B7A9E0712A00A218</vt:lpwstr>
  </property>
</Properties>
</file>